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3A16" w:rsidRDefault="004B3A16" w:rsidP="004B3A16">
      <w:r>
        <w:t xml:space="preserve">Lombardia 37/2016/PAR </w:t>
      </w:r>
    </w:p>
    <w:p w:rsidR="004B3A16" w:rsidRDefault="004B3A16" w:rsidP="004B3A16"/>
    <w:p w:rsidR="004B3A16" w:rsidRDefault="004B3A16" w:rsidP="004B3A16"/>
    <w:p w:rsidR="004B3A16" w:rsidRDefault="004B3A16" w:rsidP="004B3A16"/>
    <w:p w:rsidR="004B3A16" w:rsidRDefault="004B3A16" w:rsidP="004B3A16"/>
    <w:p w:rsidR="004B3A16" w:rsidRDefault="004B3A16" w:rsidP="004B3A16"/>
    <w:p w:rsidR="004B3A16" w:rsidRDefault="004B3A16" w:rsidP="004B3A16">
      <w:r>
        <w:t>REPUBBLICA ITALIANA</w:t>
      </w:r>
    </w:p>
    <w:p w:rsidR="004B3A16" w:rsidRDefault="004B3A16" w:rsidP="004B3A16"/>
    <w:p w:rsidR="004B3A16" w:rsidRDefault="004B3A16" w:rsidP="004B3A16">
      <w:r>
        <w:t>LA CORTE DEI CONTI</w:t>
      </w:r>
    </w:p>
    <w:p w:rsidR="004B3A16" w:rsidRDefault="004B3A16" w:rsidP="004B3A16">
      <w:r>
        <w:t>IN</w:t>
      </w:r>
    </w:p>
    <w:p w:rsidR="004B3A16" w:rsidRDefault="004B3A16" w:rsidP="004B3A16">
      <w:r>
        <w:t>SEZIONE REGIONALE DI CONTROLLO PER LA</w:t>
      </w:r>
    </w:p>
    <w:p w:rsidR="004B3A16" w:rsidRDefault="004B3A16" w:rsidP="004B3A16">
      <w:r>
        <w:t>LOMBARDIA</w:t>
      </w:r>
    </w:p>
    <w:p w:rsidR="004B3A16" w:rsidRDefault="004B3A16" w:rsidP="004B3A16"/>
    <w:p w:rsidR="004B3A16" w:rsidRDefault="004B3A16" w:rsidP="004B3A16"/>
    <w:p w:rsidR="004B3A16" w:rsidRDefault="004B3A16" w:rsidP="004B3A16">
      <w:r>
        <w:t>composta dai magistrati:</w:t>
      </w:r>
    </w:p>
    <w:p w:rsidR="004B3A16" w:rsidRDefault="004B3A16" w:rsidP="004B3A16">
      <w:r>
        <w:t>dott.ssa Simonetta Rosa</w:t>
      </w:r>
      <w:r>
        <w:tab/>
      </w:r>
      <w:r>
        <w:tab/>
      </w:r>
      <w:r>
        <w:tab/>
      </w:r>
      <w:r>
        <w:tab/>
        <w:t>Presidente</w:t>
      </w:r>
    </w:p>
    <w:p w:rsidR="004B3A16" w:rsidRDefault="004B3A16" w:rsidP="004B3A16">
      <w:r>
        <w:t xml:space="preserve">dott. Gianluca </w:t>
      </w:r>
      <w:proofErr w:type="spellStart"/>
      <w:r>
        <w:t>Braghò</w:t>
      </w:r>
      <w:proofErr w:type="spellEnd"/>
      <w:r>
        <w:tab/>
      </w:r>
      <w:r>
        <w:tab/>
      </w:r>
      <w:r>
        <w:tab/>
      </w:r>
      <w:r>
        <w:tab/>
        <w:t>Consigliere</w:t>
      </w:r>
    </w:p>
    <w:p w:rsidR="004B3A16" w:rsidRDefault="004B3A16" w:rsidP="004B3A16">
      <w:r>
        <w:t xml:space="preserve">dott.ssa Laura De </w:t>
      </w:r>
      <w:proofErr w:type="spellStart"/>
      <w:r>
        <w:t>Rentiis</w:t>
      </w:r>
      <w:proofErr w:type="spellEnd"/>
      <w:r>
        <w:tab/>
      </w:r>
      <w:r>
        <w:tab/>
      </w:r>
      <w:r>
        <w:tab/>
      </w:r>
      <w:r>
        <w:tab/>
        <w:t>Primo Referendario</w:t>
      </w:r>
    </w:p>
    <w:p w:rsidR="004B3A16" w:rsidRDefault="004B3A16" w:rsidP="004B3A16">
      <w:r>
        <w:t xml:space="preserve">dott. Andrea </w:t>
      </w:r>
      <w:proofErr w:type="spellStart"/>
      <w:r>
        <w:t>Luberti</w:t>
      </w:r>
      <w:proofErr w:type="spellEnd"/>
      <w:r>
        <w:tab/>
      </w:r>
      <w:r>
        <w:tab/>
      </w:r>
      <w:r>
        <w:tab/>
      </w:r>
      <w:r>
        <w:tab/>
      </w:r>
      <w:r>
        <w:tab/>
        <w:t>Primo Referendario</w:t>
      </w:r>
    </w:p>
    <w:p w:rsidR="004B3A16" w:rsidRDefault="004B3A16" w:rsidP="004B3A16">
      <w:r>
        <w:t>dott. Paolo Bertozzi</w:t>
      </w:r>
      <w:r>
        <w:tab/>
      </w:r>
      <w:r>
        <w:tab/>
      </w:r>
      <w:r>
        <w:tab/>
      </w:r>
      <w:r>
        <w:tab/>
      </w:r>
      <w:r>
        <w:tab/>
        <w:t>Primo Referendario (relatore)</w:t>
      </w:r>
    </w:p>
    <w:p w:rsidR="004B3A16" w:rsidRDefault="004B3A16" w:rsidP="004B3A16">
      <w:r>
        <w:t xml:space="preserve">dott. Cristian </w:t>
      </w:r>
      <w:proofErr w:type="spellStart"/>
      <w:r>
        <w:t>Pettinari</w:t>
      </w:r>
      <w:proofErr w:type="spellEnd"/>
      <w:r>
        <w:tab/>
      </w:r>
      <w:r>
        <w:tab/>
      </w:r>
      <w:r>
        <w:tab/>
      </w:r>
      <w:r>
        <w:tab/>
        <w:t>Referendario</w:t>
      </w:r>
    </w:p>
    <w:p w:rsidR="004B3A16" w:rsidRDefault="004B3A16" w:rsidP="004B3A16">
      <w:r>
        <w:t>dott. Giovanni Guida</w:t>
      </w:r>
      <w:r>
        <w:tab/>
      </w:r>
      <w:r>
        <w:tab/>
      </w:r>
      <w:r>
        <w:tab/>
      </w:r>
      <w:r>
        <w:tab/>
      </w:r>
      <w:r>
        <w:tab/>
        <w:t>Referendario</w:t>
      </w:r>
    </w:p>
    <w:p w:rsidR="004B3A16" w:rsidRDefault="004B3A16" w:rsidP="004B3A16">
      <w:r>
        <w:t xml:space="preserve">dott.ssa Sara Raffaella </w:t>
      </w:r>
      <w:proofErr w:type="spellStart"/>
      <w:r>
        <w:t>Molinaro</w:t>
      </w:r>
      <w:proofErr w:type="spellEnd"/>
      <w:r>
        <w:tab/>
      </w:r>
      <w:r>
        <w:tab/>
      </w:r>
      <w:r>
        <w:tab/>
        <w:t>Referendario</w:t>
      </w:r>
    </w:p>
    <w:p w:rsidR="004B3A16" w:rsidRDefault="004B3A16" w:rsidP="004B3A16"/>
    <w:p w:rsidR="004B3A16" w:rsidRDefault="004B3A16" w:rsidP="004B3A16">
      <w:r>
        <w:t>nell’adunanza in camera di consiglio del 2 febbraio 2016</w:t>
      </w:r>
    </w:p>
    <w:p w:rsidR="004B3A16" w:rsidRDefault="004B3A16" w:rsidP="004B3A16">
      <w:r>
        <w:t>Visto il testo unico delle leggi sulla Corte dei conti, approvato con il regio decreto 12 luglio 1934, n. 1214, e successive modificazioni;</w:t>
      </w:r>
    </w:p>
    <w:p w:rsidR="004B3A16" w:rsidRDefault="004B3A16" w:rsidP="004B3A16">
      <w:r>
        <w:t>vista la legge 21 marzo 1953, n. 161;</w:t>
      </w:r>
    </w:p>
    <w:p w:rsidR="004B3A16" w:rsidRDefault="004B3A16" w:rsidP="004B3A16">
      <w:r>
        <w:lastRenderedPageBreak/>
        <w:t>vista la legge 14 gennaio 1994, n. 20;</w:t>
      </w:r>
    </w:p>
    <w:p w:rsidR="004B3A16" w:rsidRDefault="004B3A16" w:rsidP="004B3A16">
      <w:r>
        <w:t>vista la deliberazione delle Sezioni riunite della Corte dei conti n. 14/2000 del 16 giugno 2000, che ha approvato il regolamento per l’organizzazione delle funzioni di controllo della Corte dei conti, modificata con le deliberazioni delle Sezioni riunite n. 2 del 3 luglio 2003 e n. 1 del 17 dicembre 2004;</w:t>
      </w:r>
    </w:p>
    <w:p w:rsidR="004B3A16" w:rsidRDefault="004B3A16" w:rsidP="004B3A16">
      <w:r>
        <w:t>visto il decreto legislativo 18 agosto 2000, n. 267 recante il testo unico delle leggi sull’ordinamento degli enti locali;</w:t>
      </w:r>
    </w:p>
    <w:p w:rsidR="004B3A16" w:rsidRDefault="004B3A16" w:rsidP="004B3A16">
      <w:r>
        <w:t>vista la legge 5 giugno 2003, n. 131;</w:t>
      </w:r>
    </w:p>
    <w:p w:rsidR="004B3A16" w:rsidRDefault="004B3A16" w:rsidP="004B3A16">
      <w:r>
        <w:t xml:space="preserve">vista la nota n. 293 del 26 gennaio 2016, con la quale il Comune di Gianico  (BS) ha chiesto un parere nell’ambito delle funzioni consultive attribuite alle Sezioni regionali di questa Corte; </w:t>
      </w:r>
    </w:p>
    <w:p w:rsidR="004B3A16" w:rsidRDefault="004B3A16" w:rsidP="004B3A16">
      <w:r>
        <w:t>vista la deliberazione n. 1/pareri/2004 del 3 novembre 2004 con la quale la Sezione ha stabilito i criteri sul procedimento e sulla formulazione dei pareri previsti dall’art. 7, comma 8, della legge n. 131/2003;</w:t>
      </w:r>
    </w:p>
    <w:p w:rsidR="004B3A16" w:rsidRDefault="004B3A16" w:rsidP="004B3A16">
      <w:r>
        <w:t>vista l’ordinanza con la quale il Presidente ha convocato la Sezione per l’adunanza odierna per deliberare sulla richiesta del Sindaco del comune sopra citato;</w:t>
      </w:r>
    </w:p>
    <w:p w:rsidR="004B3A16" w:rsidRDefault="004B3A16" w:rsidP="004B3A16">
      <w:r>
        <w:t>udito il relatore dott. Paolo Bertozzi.</w:t>
      </w:r>
    </w:p>
    <w:p w:rsidR="004B3A16" w:rsidRDefault="004B3A16" w:rsidP="004B3A16">
      <w:r>
        <w:t>premesso che</w:t>
      </w:r>
    </w:p>
    <w:p w:rsidR="004B3A16" w:rsidRDefault="004B3A16" w:rsidP="004B3A16">
      <w:r>
        <w:t xml:space="preserve">Con la nota sopra citata il Sindaco del Comune di Gianico, pone un quesito sulla corretta interpretazione dell’art. 1, comma 424, della legge 23 dicembre 2014, n. 190, con particolare riferimento alla possibilità di assumere, nel 2016, un dipendente mediante l’utilizzo della “capacità </w:t>
      </w:r>
      <w:proofErr w:type="spellStart"/>
      <w:r>
        <w:t>assunzionale</w:t>
      </w:r>
      <w:proofErr w:type="spellEnd"/>
      <w:r>
        <w:t>” derivante da cessazioni avvenute nel 2013 e nel 2015.</w:t>
      </w:r>
    </w:p>
    <w:p w:rsidR="004B3A16" w:rsidRDefault="004B3A16" w:rsidP="004B3A16">
      <w:r>
        <w:t>A tal fine riferisce quanto segue.</w:t>
      </w:r>
    </w:p>
    <w:p w:rsidR="004B3A16" w:rsidRDefault="004B3A16" w:rsidP="004B3A16">
      <w:r>
        <w:t>Il comune di Gianico, 2.183 abitanti al 31 dicembre 2015, ha 8 posti in dotazione organica di cui, attualmente, 6 coperti e 2 vacanti.</w:t>
      </w:r>
    </w:p>
    <w:p w:rsidR="004B3A16" w:rsidRDefault="004B3A16" w:rsidP="004B3A16">
      <w:r>
        <w:t>Nel 2013:</w:t>
      </w:r>
    </w:p>
    <w:p w:rsidR="004B3A16" w:rsidRDefault="004B3A16" w:rsidP="004B3A16">
      <w:r>
        <w:t>-</w:t>
      </w:r>
      <w:r>
        <w:tab/>
        <w:t>ha registrato la cessazione di un dipendente inquadrato in categoria C;</w:t>
      </w:r>
    </w:p>
    <w:p w:rsidR="004B3A16" w:rsidRDefault="004B3A16" w:rsidP="004B3A16">
      <w:r>
        <w:t>-</w:t>
      </w:r>
      <w:r>
        <w:tab/>
        <w:t xml:space="preserve">non ha rispettato il parametro della riduzione della spesa di personale; </w:t>
      </w:r>
      <w:r>
        <w:rPr>
          <w:rFonts w:ascii="MS Gothic" w:eastAsia="MS Gothic" w:hAnsi="MS Gothic" w:cs="MS Gothic" w:hint="eastAsia"/>
        </w:rPr>
        <w:t> </w:t>
      </w:r>
    </w:p>
    <w:p w:rsidR="004B3A16" w:rsidRDefault="004B3A16" w:rsidP="004B3A16">
      <w:r>
        <w:t>-</w:t>
      </w:r>
      <w:r>
        <w:tab/>
        <w:t>ha rispettato il Patto di Stabilità.</w:t>
      </w:r>
    </w:p>
    <w:p w:rsidR="004B3A16" w:rsidRDefault="004B3A16" w:rsidP="004B3A16">
      <w:r>
        <w:t>Nel 2014:</w:t>
      </w:r>
    </w:p>
    <w:p w:rsidR="004B3A16" w:rsidRDefault="004B3A16" w:rsidP="004B3A16">
      <w:r>
        <w:t>-</w:t>
      </w:r>
      <w:r>
        <w:tab/>
        <w:t>non ha potuto dar corso alla copertura del posto resosi vacante nel 2013 e previsto nel programma triennale del fabbisogno del personale 2014/2016 a causa del mancato rispetto del vincolo delia riduzione della spesa di personale nel 2013;</w:t>
      </w:r>
    </w:p>
    <w:p w:rsidR="004B3A16" w:rsidRDefault="004B3A16" w:rsidP="004B3A16">
      <w:r>
        <w:t>-</w:t>
      </w:r>
      <w:r>
        <w:tab/>
        <w:t>ha rispettato il vincolo della riduzione delia spesa di personale avvalendosi del risparmio derivante dalia cessazione del 2013;</w:t>
      </w:r>
    </w:p>
    <w:p w:rsidR="004B3A16" w:rsidRDefault="004B3A16" w:rsidP="004B3A16">
      <w:r>
        <w:t>-</w:t>
      </w:r>
      <w:r>
        <w:tab/>
        <w:t>ha registrato una percentuale di spesa di personale sulla spesa corrente pari al 19,72%;</w:t>
      </w:r>
    </w:p>
    <w:p w:rsidR="004B3A16" w:rsidRDefault="004B3A16" w:rsidP="004B3A16">
      <w:r>
        <w:lastRenderedPageBreak/>
        <w:t>-</w:t>
      </w:r>
      <w:r>
        <w:tab/>
        <w:t>ha rispettato il Patto di stabilità.</w:t>
      </w:r>
    </w:p>
    <w:p w:rsidR="004B3A16" w:rsidRDefault="004B3A16" w:rsidP="004B3A16">
      <w:r>
        <w:t>Nel 2015:</w:t>
      </w:r>
    </w:p>
    <w:p w:rsidR="004B3A16" w:rsidRDefault="004B3A16" w:rsidP="004B3A16">
      <w:r>
        <w:t>-</w:t>
      </w:r>
      <w:r>
        <w:tab/>
        <w:t>ha registrato l'ulteriore cessazione di un dipendente inquadrato in categoria D;</w:t>
      </w:r>
    </w:p>
    <w:p w:rsidR="004B3A16" w:rsidRDefault="004B3A16" w:rsidP="004B3A16">
      <w:r>
        <w:t>-</w:t>
      </w:r>
      <w:r>
        <w:tab/>
        <w:t>ha registrato una percentuale di spesa di personale sulla spesa corrente pari al 24,16%.</w:t>
      </w:r>
    </w:p>
    <w:p w:rsidR="004B3A16" w:rsidRDefault="004B3A16" w:rsidP="004B3A16">
      <w:r>
        <w:t>Richiamata la deliberazione della Sezione delle Autonomie della Corte dei conti n. 28/SEZAUT/2015/QMGI, si rileva che la copertura nel 2016 del posto resosi vacante riel 2013 sarebbe perseguibile unicamente avvalendosi delle risorse finanziarie e di spesa del personale, derivanti dalla cessazione nel 2015 del dipendente inquadrato nella categoria D.</w:t>
      </w:r>
    </w:p>
    <w:p w:rsidR="004B3A16" w:rsidRDefault="004B3A16" w:rsidP="004B3A16">
      <w:r>
        <w:t>Considera infine l’istante che:</w:t>
      </w:r>
    </w:p>
    <w:p w:rsidR="004B3A16" w:rsidRDefault="004B3A16" w:rsidP="004B3A16">
      <w:r>
        <w:t>-</w:t>
      </w:r>
      <w:r>
        <w:tab/>
        <w:t xml:space="preserve">sussiste incertezza sulla corretta interpretazione della terminologia “capacità </w:t>
      </w:r>
      <w:proofErr w:type="spellStart"/>
      <w:r>
        <w:t>assunzionale</w:t>
      </w:r>
      <w:proofErr w:type="spellEnd"/>
      <w:r>
        <w:t xml:space="preserve"> del 2014 e budget di spesa del triennio 2015-2016 (riferito alle cessazioni di personale intervenute nel 2014 e nel 2015”);</w:t>
      </w:r>
    </w:p>
    <w:p w:rsidR="004B3A16" w:rsidRDefault="004B3A16" w:rsidP="004B3A16">
      <w:r>
        <w:t>-</w:t>
      </w:r>
      <w:r>
        <w:tab/>
        <w:t>la situazione dell'ente impone, per dar corso alla sostituzione del dipendente cessato nel 2013 (che non soggiace al vincolo imposto per il riassorbimento del personale provinciale), la necessità di avvalersi non solo del requisito della cessazione ante 2014 ma, soprattutto delle risorse finanziarie e di spesa di personale derivanti dalla cessazione del 2015;</w:t>
      </w:r>
      <w:r>
        <w:rPr>
          <w:rFonts w:ascii="MS Gothic" w:eastAsia="MS Gothic" w:hAnsi="MS Gothic" w:cs="MS Gothic" w:hint="eastAsia"/>
        </w:rPr>
        <w:t> </w:t>
      </w:r>
    </w:p>
    <w:p w:rsidR="004B3A16" w:rsidRDefault="004B3A16" w:rsidP="004B3A16">
      <w:r>
        <w:t>-</w:t>
      </w:r>
      <w:r>
        <w:tab/>
        <w:t>il decreto c.d. "</w:t>
      </w:r>
      <w:proofErr w:type="spellStart"/>
      <w:r>
        <w:t>milleproroghe</w:t>
      </w:r>
      <w:proofErr w:type="spellEnd"/>
      <w:r>
        <w:t xml:space="preserve">” ha prorogato al 31 dicembre 2016 la possibilità delle assunzioni di personale a tempo indeterminalo relative alle cessazioni verificatesi nel triennio 2011-2013. </w:t>
      </w:r>
    </w:p>
    <w:p w:rsidR="004B3A16" w:rsidRDefault="004B3A16" w:rsidP="004B3A16">
      <w:r>
        <w:t>Tutto ciò premesso e considerato si chiede se sia possibile effettuare, nel 2016, l'assunzione a tempo indeterminato di un dipendente inquadrato in categoria C, utilizzando la cessazione del 2013 (non soggetta ai vincoli posti dall'articolo 1, comma 424 della legge n. 190/2014 finalizzati a garantire il riassorbimento del personale provinciale) e le risorse finanziarie e di spesa di personale derivanti dalla cessazione nel 2015 di un dipendente inquadrato in categoria D (soggetto ai vincoli posti dall’art. 1, comma 424, della legge n. 190/2014).</w:t>
      </w:r>
    </w:p>
    <w:p w:rsidR="004B3A16" w:rsidRDefault="004B3A16" w:rsidP="004B3A16">
      <w:r>
        <w:t>ammissibilità</w:t>
      </w:r>
    </w:p>
    <w:p w:rsidR="004B3A16" w:rsidRDefault="004B3A16" w:rsidP="004B3A16">
      <w:r>
        <w:t>L’art. 7, comma 8, della legge 5 giugno 2003, n. 131, recante “disposizioni per l'adeguamento dell'ordinamento della Repubblica alla legge costituzionale 18 ottobre 2001, n. 3”, prevede che le Regioni, i Comuni, le Province e le Città metropolitane possano richiedere pareri in materia di contabilità pubblica alle Sezioni regionali di controllo della Corte dei conti.</w:t>
      </w:r>
    </w:p>
    <w:p w:rsidR="004B3A16" w:rsidRDefault="004B3A16" w:rsidP="004B3A16">
      <w:r>
        <w:t>Quest’ultime risultano quindi investite, per effetto della legge sopra citata, di una nuova funzione di consulenza che si affianca a quella del controllo sulla sana gestione finanziaria degli enti locali, previsto dal precedente comma 7, quale ulteriore esplicazione delle “forme di collaborazione” tra la Corte dei conti e le autonomie territoriali promossa dalla stessa legge al fine di assicurare il coordinamento della finanza pubblica.</w:t>
      </w:r>
    </w:p>
    <w:p w:rsidR="004B3A16" w:rsidRDefault="004B3A16" w:rsidP="004B3A16">
      <w:r>
        <w:t xml:space="preserve">La Sezione Autonomie della stessa Corte dei conti, con atto del 27 aprile 2004, in seguito integrato con le deliberazioni n. 5/AUT/2006 e n. 9/SEZAUT/2009, ha fissato i principi e le modalità per l’esercizio della </w:t>
      </w:r>
      <w:r>
        <w:lastRenderedPageBreak/>
        <w:t>funzione consultiva sopra descritta, individuando, tra l’altro, i soggetti legittimati alla richiesta di parere e le singole materie riconducibili alla nozione di contabilità pubblica.</w:t>
      </w:r>
    </w:p>
    <w:p w:rsidR="004B3A16" w:rsidRDefault="004B3A16" w:rsidP="004B3A16">
      <w:r>
        <w:t>Questa Sezione regionale è quindi chiamata a verificare, in via preliminare, l’ammissibilità della richiesta in esame, sia sotto il profilo soggettivo (legittimazione dell’organo richiedente) sia sotto il profilo oggettivo (attinenza del quesito alla materia della contabilità pubblica).</w:t>
      </w:r>
    </w:p>
    <w:p w:rsidR="004B3A16" w:rsidRDefault="004B3A16" w:rsidP="004B3A16">
      <w:r>
        <w:t>I. Ammissibilità soggettiva.</w:t>
      </w:r>
    </w:p>
    <w:p w:rsidR="004B3A16" w:rsidRDefault="004B3A16" w:rsidP="004B3A16">
      <w:r>
        <w:t xml:space="preserve">L’art. 7, comma 8, della citata legge 5 giugno 2003, n. 131, come detto, riserva la facoltà di richiedere pareri in materia di contabilità pubblica esclusivamente alle Regioni e, “di norma per il tramite del consiglio delle Autonomie locali”, ai Comuni, alle Province e alle Città metropolitane. </w:t>
      </w:r>
    </w:p>
    <w:p w:rsidR="004B3A16" w:rsidRDefault="004B3A16" w:rsidP="004B3A16">
      <w:r>
        <w:t xml:space="preserve">Tale facoltà, stante la natura speciale della funzione consultiva attribuita alla Corte, non può pertanto essere estesa a soggetti diversi da quelli espressamente indicati dalla legge. </w:t>
      </w:r>
    </w:p>
    <w:p w:rsidR="004B3A16" w:rsidRDefault="004B3A16" w:rsidP="004B3A16">
      <w:r>
        <w:t>La legittimazione alla richiesta di parere, inoltre, per i riflessi che ne possono scaturire sulla gestione finanziaria dell’ente, deve essere riconosciuta all’organo legislativamente investito della rappresentanza legale dell’ente medesimo ed individuabile, di regola, nel Presidente della Giunta regionale, nel Sindaco e nel Presidente della Provincia.</w:t>
      </w:r>
    </w:p>
    <w:p w:rsidR="004B3A16" w:rsidRDefault="004B3A16" w:rsidP="004B3A16">
      <w:r>
        <w:t>La mancata formulazione delle richieste provenienti da Comuni, Province e Città metropolitane per il tramite del Consiglio delle autonomie locali, secondo il consolidato orientamento della Sezione, non impedisce l’ammissibilità delle stesse, in attesa dell’entrata in funzione del predetto organo.</w:t>
      </w:r>
    </w:p>
    <w:p w:rsidR="004B3A16" w:rsidRDefault="004B3A16" w:rsidP="004B3A16">
      <w:r>
        <w:t>La richiesta di parere in esame, proveniente dal Sindaco del comune, legale rappresentante dell’ente e, come tale, legittimato a proporla, deve quindi ritenersi ammissibile sotto il profilo soggettivo.</w:t>
      </w:r>
    </w:p>
    <w:p w:rsidR="004B3A16" w:rsidRDefault="004B3A16" w:rsidP="004B3A16">
      <w:r>
        <w:t>II. Ammissibilità oggettiva.</w:t>
      </w:r>
    </w:p>
    <w:p w:rsidR="004B3A16" w:rsidRDefault="004B3A16" w:rsidP="004B3A16">
      <w:r>
        <w:t>La facoltà di richiedere pareri, oltre ad essere limitata ai soggetti sopra indicati, risulta legislativamente circoscritta alla sola materia della contabilità pubblica.</w:t>
      </w:r>
    </w:p>
    <w:p w:rsidR="004B3A16" w:rsidRDefault="004B3A16" w:rsidP="004B3A16">
      <w:r>
        <w:t xml:space="preserve">La funzione di consulenza riconosciuta alle Sezioni regionali di controllo della Corte dei Conti non è quindi di carattere generale, ma, coerentemente con le finalità di coordinamento della finanza pubblica perseguite dalla legge attributiva, si esplica esclusivamente su quesiti attinenti l’interpretazione di norme di contabilità e finanza pubblica, in modo da assicurarne una uniforme applicazione da parte delle autonomie territoriali.  </w:t>
      </w:r>
    </w:p>
    <w:p w:rsidR="004B3A16" w:rsidRDefault="004B3A16" w:rsidP="004B3A16">
      <w:r>
        <w:t xml:space="preserve">Le Sezioni Riunite della Corte dei conti, chiamate a pronunciarsi nell’esercizio delle funzioni di coordinamento ad esse assegnate dall’art. 17, comma 31, del decreto legge 1 luglio 2009, n. 78, con la deliberazione n. 54/2010, hanno precisato che la funzione consultiva deve svolgersi anche in ordine a quesiti che risultino connessi alle modalità di utilizzo delle risorse pubbliche, nel quadro di specifici obiettivi di contenimento della spesa sanciti dai principi di coordinamento della finanza pubblica, e in grado di ripercuotersi direttamente sulla sana gestione finanziaria dell’ente e sui pertinenti equilibri di bilancio. </w:t>
      </w:r>
    </w:p>
    <w:p w:rsidR="004B3A16" w:rsidRDefault="004B3A16" w:rsidP="004B3A16">
      <w:r>
        <w:t>Si ritiene, in ogni caso, che il parere possa essere fornito solo rispetto a questioni di carattere generale che si prestino ad essere considerate in astratto, escludendo ogni valutazione su atti o casi specifici che determinerebbe un’ingerenza della Corte nella concreta attività dell’ente e, in ultima analisi, una compartecipazione all’amministrazione attiva, incompatibile con la posizione di terzietà ed indipendenza riconosciuta alla Corte dei conti dalla Costituzione repubblicana.</w:t>
      </w:r>
    </w:p>
    <w:p w:rsidR="004B3A16" w:rsidRDefault="004B3A16" w:rsidP="004B3A16">
      <w:r>
        <w:lastRenderedPageBreak/>
        <w:t>Le Sezioni regionali non possono pronunciarsi, inoltre, su quesiti che implichino valutazioni di comportamenti amministrativi suscettibili di interferire con altre funzioni intestate alla stessa Corte dei conti, ad altri organi giurisdizionali o a soggetti pubblici investiti dalla legge di funzioni di controllo o consulenza in determinate materie.</w:t>
      </w:r>
    </w:p>
    <w:p w:rsidR="004B3A16" w:rsidRDefault="004B3A16" w:rsidP="004B3A16">
      <w:r>
        <w:t>Alla luce delle predette considerazioni, la richiesta di parere in esame, pur formulata con riferimento ad un caso concreto, deve ritenersi ammissibile anche sotto il profilo oggettivo in quanto si presta a fornire indicazioni generali sulla corretta interpretazione di disposizioni in materia di personale degli enti locali anche agli effetti del rispetto dei vincoli imposti dalle leggi di coordinamento della finanza pubblica.</w:t>
      </w:r>
    </w:p>
    <w:p w:rsidR="004B3A16" w:rsidRDefault="004B3A16" w:rsidP="004B3A16">
      <w:r>
        <w:t>merito</w:t>
      </w:r>
    </w:p>
    <w:p w:rsidR="004B3A16" w:rsidRDefault="004B3A16" w:rsidP="004B3A16">
      <w:r>
        <w:t xml:space="preserve">L’esame nel merito del quesito sottoposto alla Sezione richiede di stabilire se, alla luce della disposizione di cui all’ art. 1, comma 424, della legge 23 dicembre 2014, n. 190, intesa a favorire il ricollocamento del personale soprannumerario delle Province, un Comune possa procedere all’assunzione di una unità di personale sulla base della capacità </w:t>
      </w:r>
      <w:proofErr w:type="spellStart"/>
      <w:r>
        <w:t>assunzionale</w:t>
      </w:r>
      <w:proofErr w:type="spellEnd"/>
      <w:r>
        <w:t xml:space="preserve"> derivante da cessazioni avvenute nel 2013 e nel 2015.</w:t>
      </w:r>
    </w:p>
    <w:p w:rsidR="004B3A16" w:rsidRDefault="004B3A16" w:rsidP="004B3A16">
      <w:r>
        <w:t>La questione è stata affrontata dalla Sezione delle Autonomie della Corte dei conti con la deliberazione n. 26/SEZAUT/2015/QMIG del 28 luglio 2015, resa nell’esercizio della funzione nomofilattica e pertanto vincolante per le Sezioni regionali.</w:t>
      </w:r>
    </w:p>
    <w:p w:rsidR="004B3A16" w:rsidRDefault="004B3A16" w:rsidP="004B3A16">
      <w:r>
        <w:t>Si richiama di seguito il principio enunciato, rinviando alla deliberazione stessa per la ricostruzione del quadro normativo.</w:t>
      </w:r>
    </w:p>
    <w:p w:rsidR="004B3A16" w:rsidRDefault="004B3A16" w:rsidP="004B3A16">
      <w:r>
        <w:t xml:space="preserve">“Gli enti locali possono effettuare assunzioni di personale a tempo indeterminato utilizzando la capacità </w:t>
      </w:r>
      <w:proofErr w:type="spellStart"/>
      <w:r>
        <w:t>assunzionale</w:t>
      </w:r>
      <w:proofErr w:type="spellEnd"/>
      <w:r>
        <w:t xml:space="preserve"> del 2014 derivante dalle cessazioni di personale nel triennio 2011-2013, sempre nel rispetto dei vincoli di finanza pubblica; mentre, con riguardo al budget di spesa del biennio 2015-2016 (riferito alle cessazioni di personale intervenute nel 2014 e nel 2015), la capacità </w:t>
      </w:r>
      <w:proofErr w:type="spellStart"/>
      <w:r>
        <w:t>assunzionale</w:t>
      </w:r>
      <w:proofErr w:type="spellEnd"/>
      <w:r>
        <w:t xml:space="preserve"> è soggetta ai vincoli posti dall’articolo 1, comma 424 della legge 190/2014 finalizzati a garantire il riassorbimento del personale provinciale”.</w:t>
      </w:r>
    </w:p>
    <w:p w:rsidR="004B3A16" w:rsidRDefault="004B3A16" w:rsidP="004B3A16">
      <w:r>
        <w:t>La stessa Sezione della Autonomie, con la successiva deliberazione n. 28/SEZAUT/2015/QMIG del 28 luglio 2015, ha ulteriormente precisato che “il riferimento “al triennio precedente” inserito nell’art. 4, comma 3, del decreto-legge n. 78/2015, che ha integrato l’art. 3, comma 5, del decreto-legge n. 90/2014, è da intendersi in senso dinamico, con scorrimento e calcolo dei resti, a ritroso, rispetto all’anno in cui si intende effettuare le assunzioni”, ribadendo altresì che le risorse da destinare nel 2015 e nel 2016 alle finalità di cui al citato comma 424 sono esclusivamente quelle relative alle cessazioni intervenute, rispettivamente, nel 2014 e nel 2015.</w:t>
      </w:r>
    </w:p>
    <w:p w:rsidR="004B3A16" w:rsidRDefault="004B3A16" w:rsidP="004B3A16">
      <w:r>
        <w:t xml:space="preserve">Si ricorda al riguardo che l’art. 1, comma 228, della legge 28 dicembre 2015, n. 208 (legge di stabilità per il 2016), dopo avere ridefinito la capacità </w:t>
      </w:r>
      <w:proofErr w:type="spellStart"/>
      <w:r>
        <w:t>assunzionale</w:t>
      </w:r>
      <w:proofErr w:type="spellEnd"/>
      <w:r>
        <w:t xml:space="preserve"> degli enti locali per gli anni 2016, 2017 e 2018 nella misura del 25 per cento della spesa del personale cessato nell’anno precedente, stabilisce che “al solo fine di definire il processo di mobilità del personale degli enti di area vasta destinato a funzioni non fondamentali, come individuato dall'articolo 1, comma 421, della citata legge n. 190 del 2014, restano ferme le percentuali stabilite dall'articolo 3, comma 5, del decreto-legge 24 giugno 2014, n. 90, convertito, con modificazioni, dalla legge 11 agosto 2014, n. 114”.</w:t>
      </w:r>
    </w:p>
    <w:p w:rsidR="004B3A16" w:rsidRDefault="004B3A16" w:rsidP="004B3A16">
      <w:r>
        <w:t xml:space="preserve">Alla luce delle predette interpretazioni si deve dare risposta negativa al quesito formulato dal comune istante, ribadendo che la capacità </w:t>
      </w:r>
      <w:proofErr w:type="spellStart"/>
      <w:r>
        <w:t>assunzionale</w:t>
      </w:r>
      <w:proofErr w:type="spellEnd"/>
      <w:r>
        <w:t xml:space="preserve"> scaturita da cessazioni intervenute nel 2015 deve essere </w:t>
      </w:r>
      <w:r>
        <w:lastRenderedPageBreak/>
        <w:t>interamente destinata alla ricollocazione del personale delle Province, e non può essere cumulata con quella derivante da cessazioni del 2013 ai fini dell’assunzione di altra unità di personale senza incorrere nei vincoli di cui all’art. 1, comma 424, della legge n. 190/2014.</w:t>
      </w:r>
    </w:p>
    <w:p w:rsidR="004B3A16" w:rsidRDefault="004B3A16" w:rsidP="004B3A16">
      <w:r>
        <w:t>P.Q.M.</w:t>
      </w:r>
    </w:p>
    <w:p w:rsidR="004B3A16" w:rsidRDefault="004B3A16" w:rsidP="004B3A16">
      <w:r>
        <w:t>Nelle considerazioni che precedono è espresso il parere della Sezione.</w:t>
      </w:r>
    </w:p>
    <w:p w:rsidR="004B3A16" w:rsidRDefault="004B3A16" w:rsidP="004B3A16"/>
    <w:p w:rsidR="004B3A16" w:rsidRDefault="004B3A16" w:rsidP="004B3A16">
      <w:r>
        <w:t>Così deliberato nella Camera di consiglio del 2 febbraio 2015.</w:t>
      </w:r>
    </w:p>
    <w:p w:rsidR="004B3A16" w:rsidRDefault="004B3A16" w:rsidP="004B3A16">
      <w:r>
        <w:t xml:space="preserve">       </w:t>
      </w:r>
    </w:p>
    <w:p w:rsidR="004B3A16" w:rsidRDefault="004B3A16" w:rsidP="004B3A16">
      <w:r>
        <w:t xml:space="preserve">                          </w:t>
      </w:r>
      <w:r>
        <w:tab/>
      </w:r>
      <w:r>
        <w:tab/>
        <w:t xml:space="preserve">  </w:t>
      </w:r>
      <w:r>
        <w:tab/>
      </w:r>
      <w:r>
        <w:tab/>
      </w:r>
      <w:r>
        <w:tab/>
      </w:r>
      <w:r>
        <w:tab/>
      </w:r>
      <w:r>
        <w:tab/>
      </w:r>
      <w:r>
        <w:tab/>
      </w:r>
      <w:r>
        <w:tab/>
      </w:r>
    </w:p>
    <w:p w:rsidR="004B3A16" w:rsidRDefault="004B3A16" w:rsidP="004B3A16"/>
    <w:p w:rsidR="004B3A16" w:rsidRDefault="004B3A16" w:rsidP="004B3A16">
      <w:r>
        <w:t xml:space="preserve">       Il Relatore </w:t>
      </w:r>
      <w:r>
        <w:tab/>
      </w:r>
      <w:r>
        <w:tab/>
      </w:r>
      <w:r>
        <w:tab/>
      </w:r>
      <w:r>
        <w:tab/>
      </w:r>
      <w:r>
        <w:tab/>
        <w:t xml:space="preserve">         Il Presidente </w:t>
      </w:r>
    </w:p>
    <w:p w:rsidR="004B3A16" w:rsidRDefault="004B3A16" w:rsidP="004B3A16">
      <w:r>
        <w:t>(dott. Paolo Bertozzi)                                         (dott.ssa Simonetta Rosa)</w:t>
      </w:r>
    </w:p>
    <w:p w:rsidR="004B3A16" w:rsidRDefault="004B3A16" w:rsidP="004B3A16"/>
    <w:p w:rsidR="004B3A16" w:rsidRDefault="004B3A16" w:rsidP="004B3A16"/>
    <w:p w:rsidR="004B3A16" w:rsidRDefault="004B3A16" w:rsidP="004B3A16"/>
    <w:p w:rsidR="004B3A16" w:rsidRDefault="004B3A16" w:rsidP="004B3A16">
      <w:r>
        <w:t>Depositato in Segreteria</w:t>
      </w:r>
    </w:p>
    <w:p w:rsidR="004B3A16" w:rsidRDefault="004B3A16" w:rsidP="004B3A16">
      <w:r>
        <w:t>del 4 febbraio 2016</w:t>
      </w:r>
    </w:p>
    <w:p w:rsidR="004B3A16" w:rsidRDefault="004B3A16" w:rsidP="004B3A16"/>
    <w:p w:rsidR="004B3A16" w:rsidRDefault="004B3A16" w:rsidP="004B3A16">
      <w:r>
        <w:t>Il Direttore della Segreteria</w:t>
      </w:r>
    </w:p>
    <w:p w:rsidR="000E5982" w:rsidRDefault="004B3A16" w:rsidP="004B3A16">
      <w:r>
        <w:t xml:space="preserve">(dott.ssa Daniela </w:t>
      </w:r>
      <w:proofErr w:type="spellStart"/>
      <w:r>
        <w:t>Parisini</w:t>
      </w:r>
      <w:proofErr w:type="spellEnd"/>
      <w:r>
        <w:t>)</w:t>
      </w:r>
      <w:bookmarkStart w:id="0" w:name="_GoBack"/>
      <w:bookmarkEnd w:id="0"/>
    </w:p>
    <w:sectPr w:rsidR="000E598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useFELayout/>
    <w:compatSetting w:name="compatibilityMode" w:uri="http://schemas.microsoft.com/office/word" w:val="12"/>
  </w:compat>
  <w:rsids>
    <w:rsidRoot w:val="006A3214"/>
    <w:rsid w:val="000E5982"/>
    <w:rsid w:val="004B3A16"/>
    <w:rsid w:val="006A321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2097</Words>
  <Characters>11953</Characters>
  <Application>Microsoft Office Word</Application>
  <DocSecurity>0</DocSecurity>
  <Lines>99</Lines>
  <Paragraphs>28</Paragraphs>
  <ScaleCrop>false</ScaleCrop>
  <Company/>
  <LinksUpToDate>false</LinksUpToDate>
  <CharactersWithSpaces>14022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Carolina</cp:lastModifiedBy>
  <cp:revision>3</cp:revision>
  <dcterms:created xsi:type="dcterms:W3CDTF">2016-01-19T13:32:00Z</dcterms:created>
  <dcterms:modified xsi:type="dcterms:W3CDTF">2016-02-23T07:32:00Z</dcterms:modified>
</cp:coreProperties>
</file>