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AAC" w:rsidRDefault="006B5AAC" w:rsidP="006B5AAC">
      <w:pPr>
        <w:autoSpaceDE w:val="0"/>
        <w:autoSpaceDN w:val="0"/>
        <w:adjustRightInd w:val="0"/>
        <w:spacing w:before="480" w:line="360" w:lineRule="auto"/>
        <w:jc w:val="right"/>
        <w:rPr>
          <w:rFonts w:ascii="Verdana" w:hAnsi="Verdana" w:cs="Arial"/>
          <w:bCs/>
          <w:sz w:val="20"/>
          <w:szCs w:val="20"/>
        </w:rPr>
      </w:pPr>
      <w:r>
        <w:rPr>
          <w:rFonts w:ascii="Verdana" w:hAnsi="Verdana" w:cs="Arial"/>
          <w:bCs/>
          <w:sz w:val="20"/>
          <w:szCs w:val="20"/>
        </w:rPr>
        <w:t>Deliberazione n. 30/PAR/2016</w:t>
      </w:r>
    </w:p>
    <w:p w:rsidR="006B5AAC" w:rsidRDefault="006B5AAC" w:rsidP="006B5AAC">
      <w:pPr>
        <w:autoSpaceDE w:val="0"/>
        <w:autoSpaceDN w:val="0"/>
        <w:adjustRightInd w:val="0"/>
        <w:spacing w:line="360" w:lineRule="auto"/>
        <w:jc w:val="center"/>
        <w:rPr>
          <w:rFonts w:ascii="Verdana" w:hAnsi="Verdana" w:cs="Arial"/>
          <w:b/>
          <w:bCs/>
          <w:sz w:val="20"/>
          <w:szCs w:val="20"/>
        </w:rPr>
      </w:pPr>
    </w:p>
    <w:p w:rsidR="006B5AAC" w:rsidRDefault="006B5AAC" w:rsidP="006B5AAC">
      <w:pPr>
        <w:pStyle w:val="Standard"/>
        <w:spacing w:before="840" w:line="360" w:lineRule="auto"/>
        <w:ind w:right="-45"/>
        <w:jc w:val="center"/>
        <w:rPr>
          <w:rFonts w:ascii="Verdana" w:hAnsi="Verdana" w:cs="Arial"/>
          <w:b/>
          <w:bCs/>
          <w:sz w:val="20"/>
          <w:szCs w:val="20"/>
        </w:rPr>
      </w:pPr>
      <w:r>
        <w:rPr>
          <w:rFonts w:ascii="Verdana" w:hAnsi="Verdana" w:cs="Arial"/>
          <w:b/>
          <w:bCs/>
          <w:sz w:val="20"/>
          <w:szCs w:val="20"/>
        </w:rPr>
        <w:t>REPUBBLICA ITALIANA</w:t>
      </w:r>
    </w:p>
    <w:p w:rsidR="006B5AAC" w:rsidRDefault="006B5AAC" w:rsidP="006B5AAC">
      <w:pPr>
        <w:pStyle w:val="Standard"/>
        <w:spacing w:line="360" w:lineRule="auto"/>
        <w:ind w:right="-45"/>
        <w:jc w:val="center"/>
        <w:rPr>
          <w:rFonts w:ascii="Verdana" w:hAnsi="Verdana" w:cs="Arial"/>
          <w:b/>
          <w:bCs/>
          <w:sz w:val="20"/>
          <w:szCs w:val="20"/>
        </w:rPr>
      </w:pPr>
      <w:r>
        <w:rPr>
          <w:rFonts w:ascii="Verdana" w:hAnsi="Verdana" w:cs="Arial"/>
          <w:b/>
          <w:bCs/>
          <w:sz w:val="20"/>
          <w:szCs w:val="20"/>
        </w:rPr>
        <w:t>LA CORTE DEI CONTI</w:t>
      </w:r>
    </w:p>
    <w:p w:rsidR="006B5AAC" w:rsidRDefault="006B5AAC" w:rsidP="006B5AAC">
      <w:pPr>
        <w:pStyle w:val="Standard"/>
        <w:spacing w:line="360" w:lineRule="auto"/>
        <w:ind w:right="-45"/>
        <w:jc w:val="center"/>
        <w:rPr>
          <w:rFonts w:ascii="Verdana" w:hAnsi="Verdana" w:cs="Arial"/>
          <w:b/>
          <w:bCs/>
          <w:sz w:val="20"/>
          <w:szCs w:val="20"/>
        </w:rPr>
      </w:pPr>
      <w:r>
        <w:rPr>
          <w:rFonts w:ascii="Verdana" w:hAnsi="Verdana" w:cs="Arial"/>
          <w:b/>
          <w:bCs/>
          <w:sz w:val="20"/>
          <w:szCs w:val="20"/>
        </w:rPr>
        <w:t>SEZIONE REGIONALE DI CONTROLLO PER LA PUGLIA</w:t>
      </w:r>
    </w:p>
    <w:p w:rsidR="006B5AAC" w:rsidRDefault="006B5AAC" w:rsidP="006B5AAC">
      <w:pPr>
        <w:pStyle w:val="Standard"/>
        <w:spacing w:line="360" w:lineRule="auto"/>
        <w:ind w:right="-45"/>
        <w:jc w:val="center"/>
        <w:rPr>
          <w:rFonts w:ascii="Verdana" w:hAnsi="Verdana" w:cs="Arial"/>
          <w:b/>
          <w:bCs/>
          <w:sz w:val="20"/>
          <w:szCs w:val="20"/>
        </w:rPr>
      </w:pPr>
    </w:p>
    <w:p w:rsidR="006B5AAC" w:rsidRDefault="006B5AAC" w:rsidP="006B5AAC">
      <w:pPr>
        <w:pStyle w:val="Standard"/>
        <w:spacing w:line="360" w:lineRule="auto"/>
        <w:ind w:right="-45"/>
        <w:jc w:val="center"/>
        <w:rPr>
          <w:rFonts w:ascii="Verdana" w:hAnsi="Verdana" w:cs="Arial"/>
          <w:bCs/>
          <w:sz w:val="20"/>
          <w:szCs w:val="20"/>
        </w:rPr>
      </w:pPr>
      <w:r>
        <w:rPr>
          <w:rFonts w:ascii="Verdana" w:hAnsi="Verdana" w:cs="Arial"/>
          <w:bCs/>
          <w:sz w:val="20"/>
          <w:szCs w:val="20"/>
        </w:rPr>
        <w:t>composta dai Magistrati</w:t>
      </w:r>
    </w:p>
    <w:p w:rsidR="006B5AAC" w:rsidRDefault="006B5AAC" w:rsidP="006B5AAC">
      <w:pPr>
        <w:spacing w:line="360" w:lineRule="auto"/>
        <w:ind w:left="540" w:right="-54" w:firstLine="169"/>
        <w:jc w:val="both"/>
        <w:rPr>
          <w:rFonts w:ascii="Verdana" w:hAnsi="Verdana" w:cs="Arial"/>
          <w:sz w:val="20"/>
          <w:szCs w:val="20"/>
        </w:rPr>
      </w:pPr>
      <w:r>
        <w:rPr>
          <w:rFonts w:ascii="Verdana" w:hAnsi="Verdana" w:cs="Arial"/>
          <w:sz w:val="20"/>
          <w:szCs w:val="20"/>
        </w:rPr>
        <w:t xml:space="preserve">Presidente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t xml:space="preserve">Agostino </w:t>
      </w:r>
      <w:proofErr w:type="spellStart"/>
      <w:r>
        <w:rPr>
          <w:rFonts w:ascii="Verdana" w:hAnsi="Verdana" w:cs="Arial"/>
          <w:sz w:val="20"/>
          <w:szCs w:val="20"/>
        </w:rPr>
        <w:t>Chiappiniello</w:t>
      </w:r>
      <w:proofErr w:type="spellEnd"/>
    </w:p>
    <w:p w:rsidR="006B5AAC" w:rsidRDefault="006B5AAC" w:rsidP="006B5AAC">
      <w:pPr>
        <w:spacing w:line="360" w:lineRule="auto"/>
        <w:ind w:right="-54"/>
        <w:jc w:val="both"/>
        <w:rPr>
          <w:rFonts w:ascii="Verdana" w:hAnsi="Verdana" w:cs="Arial"/>
          <w:sz w:val="20"/>
          <w:szCs w:val="20"/>
        </w:rPr>
      </w:pPr>
      <w:r>
        <w:rPr>
          <w:rFonts w:ascii="Verdana" w:hAnsi="Verdana" w:cs="Arial"/>
          <w:sz w:val="20"/>
          <w:szCs w:val="20"/>
        </w:rPr>
        <w:t xml:space="preserve"> </w:t>
      </w:r>
      <w:r>
        <w:rPr>
          <w:rFonts w:ascii="Verdana" w:hAnsi="Verdana" w:cs="Arial"/>
          <w:sz w:val="20"/>
          <w:szCs w:val="20"/>
        </w:rPr>
        <w:tab/>
        <w:t>Consigliere</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t>Stefania Petrucci</w:t>
      </w:r>
      <w:r>
        <w:rPr>
          <w:rFonts w:ascii="Verdana" w:hAnsi="Verdana" w:cs="Arial"/>
          <w:sz w:val="20"/>
          <w:szCs w:val="20"/>
        </w:rPr>
        <w:tab/>
      </w:r>
    </w:p>
    <w:p w:rsidR="006B5AAC" w:rsidRDefault="006B5AAC" w:rsidP="006B5AAC">
      <w:pPr>
        <w:spacing w:line="360" w:lineRule="auto"/>
        <w:ind w:right="-54" w:firstLine="709"/>
        <w:jc w:val="both"/>
        <w:rPr>
          <w:rFonts w:ascii="Verdana" w:hAnsi="Verdana"/>
          <w:sz w:val="20"/>
          <w:szCs w:val="20"/>
        </w:rPr>
      </w:pPr>
      <w:r>
        <w:rPr>
          <w:rFonts w:ascii="Verdana" w:hAnsi="Verdana"/>
          <w:sz w:val="20"/>
          <w:szCs w:val="20"/>
        </w:rPr>
        <w:t>Primo Referendario</w:t>
      </w:r>
      <w:r>
        <w:rPr>
          <w:rFonts w:ascii="Verdana" w:hAnsi="Verdana"/>
          <w:sz w:val="20"/>
          <w:szCs w:val="20"/>
        </w:rPr>
        <w:tab/>
      </w:r>
      <w:r>
        <w:rPr>
          <w:rFonts w:ascii="Verdana" w:hAnsi="Verdana"/>
          <w:sz w:val="20"/>
          <w:szCs w:val="20"/>
        </w:rPr>
        <w:tab/>
      </w:r>
      <w:r>
        <w:rPr>
          <w:rFonts w:ascii="Verdana" w:hAnsi="Verdana"/>
          <w:sz w:val="20"/>
          <w:szCs w:val="20"/>
        </w:rPr>
        <w:tab/>
        <w:t>Rossana De Corato</w:t>
      </w:r>
    </w:p>
    <w:p w:rsidR="006B5AAC" w:rsidRDefault="006B5AAC" w:rsidP="006B5AAC">
      <w:pPr>
        <w:pStyle w:val="Testodelblocco1"/>
        <w:ind w:left="0" w:right="-54" w:firstLine="709"/>
        <w:rPr>
          <w:rFonts w:ascii="Verdana" w:hAnsi="Verdana"/>
          <w:sz w:val="20"/>
        </w:rPr>
      </w:pPr>
      <w:r>
        <w:rPr>
          <w:rFonts w:ascii="Verdana" w:hAnsi="Verdana"/>
          <w:sz w:val="20"/>
        </w:rPr>
        <w:t xml:space="preserve">Primo Referendario </w:t>
      </w:r>
      <w:r>
        <w:rPr>
          <w:rFonts w:ascii="Verdana" w:hAnsi="Verdana"/>
          <w:sz w:val="20"/>
        </w:rPr>
        <w:tab/>
      </w:r>
      <w:r>
        <w:rPr>
          <w:rFonts w:ascii="Verdana" w:hAnsi="Verdana"/>
          <w:sz w:val="20"/>
        </w:rPr>
        <w:tab/>
      </w:r>
      <w:r>
        <w:rPr>
          <w:rFonts w:ascii="Verdana" w:hAnsi="Verdana"/>
          <w:sz w:val="20"/>
        </w:rPr>
        <w:tab/>
        <w:t xml:space="preserve">Cosmo </w:t>
      </w:r>
      <w:proofErr w:type="spellStart"/>
      <w:r>
        <w:rPr>
          <w:rFonts w:ascii="Verdana" w:hAnsi="Verdana"/>
          <w:sz w:val="20"/>
        </w:rPr>
        <w:t>Sciancalepore</w:t>
      </w:r>
      <w:proofErr w:type="spellEnd"/>
      <w:r>
        <w:rPr>
          <w:rFonts w:ascii="Verdana" w:hAnsi="Verdana"/>
          <w:sz w:val="20"/>
        </w:rPr>
        <w:t xml:space="preserve"> (Relatore)</w:t>
      </w:r>
    </w:p>
    <w:p w:rsidR="006B5AAC" w:rsidRDefault="006B5AAC" w:rsidP="006B5AAC">
      <w:pPr>
        <w:pStyle w:val="Testodelblocco1"/>
        <w:ind w:left="0" w:right="-54" w:firstLine="709"/>
        <w:rPr>
          <w:rFonts w:ascii="Verdana" w:hAnsi="Verdana"/>
          <w:sz w:val="20"/>
          <w:highlight w:val="yellow"/>
        </w:rPr>
      </w:pPr>
      <w:r>
        <w:rPr>
          <w:rFonts w:ascii="Verdana" w:hAnsi="Verdana"/>
          <w:sz w:val="20"/>
        </w:rPr>
        <w:t xml:space="preserve">Referendario </w:t>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Carmelina </w:t>
      </w:r>
      <w:proofErr w:type="spellStart"/>
      <w:r>
        <w:rPr>
          <w:rFonts w:ascii="Verdana" w:hAnsi="Verdana"/>
          <w:sz w:val="20"/>
        </w:rPr>
        <w:t>Addesso</w:t>
      </w:r>
      <w:proofErr w:type="spellEnd"/>
    </w:p>
    <w:p w:rsidR="006B5AAC" w:rsidRDefault="006B5AAC" w:rsidP="006B5AAC">
      <w:pPr>
        <w:suppressAutoHyphens w:val="0"/>
        <w:spacing w:line="360" w:lineRule="auto"/>
        <w:ind w:left="3540" w:firstLine="708"/>
        <w:rPr>
          <w:rFonts w:ascii="Verdana" w:eastAsia="Times New Roman" w:hAnsi="Verdana"/>
          <w:sz w:val="20"/>
          <w:szCs w:val="20"/>
        </w:rPr>
      </w:pPr>
      <w:r>
        <w:rPr>
          <w:rFonts w:ascii="Verdana" w:hAnsi="Verdana"/>
          <w:sz w:val="20"/>
          <w:szCs w:val="20"/>
        </w:rPr>
        <w:tab/>
        <w:t xml:space="preserve">   </w:t>
      </w:r>
    </w:p>
    <w:p w:rsidR="006B5AAC" w:rsidRDefault="006B5AAC" w:rsidP="006B5AAC">
      <w:pPr>
        <w:spacing w:line="360" w:lineRule="auto"/>
        <w:ind w:right="-54"/>
        <w:jc w:val="both"/>
        <w:rPr>
          <w:rFonts w:ascii="Verdana" w:eastAsia="Times New Roman" w:hAnsi="Verdana"/>
          <w:sz w:val="20"/>
          <w:szCs w:val="20"/>
        </w:rPr>
      </w:pPr>
      <w:r>
        <w:rPr>
          <w:rFonts w:ascii="Verdana" w:eastAsia="Times New Roman" w:hAnsi="Verdana"/>
          <w:sz w:val="20"/>
          <w:szCs w:val="20"/>
        </w:rPr>
        <w:t xml:space="preserve">a seguito della camera di consiglio dell’11 febbraio 2016, ha assunto la seguente deliberazione sulla richiesta di parere </w:t>
      </w:r>
      <w:proofErr w:type="spellStart"/>
      <w:r>
        <w:rPr>
          <w:rFonts w:ascii="Verdana" w:eastAsia="Times New Roman" w:hAnsi="Verdana"/>
          <w:sz w:val="20"/>
          <w:szCs w:val="20"/>
        </w:rPr>
        <w:t>prot</w:t>
      </w:r>
      <w:proofErr w:type="spellEnd"/>
      <w:r>
        <w:rPr>
          <w:rFonts w:ascii="Verdana" w:eastAsia="Times New Roman" w:hAnsi="Verdana"/>
          <w:sz w:val="20"/>
          <w:szCs w:val="20"/>
        </w:rPr>
        <w:t>. n.8062 del 19 gennaio 2016, formulata dal Sindaco del Comune di Lecce, pervenuta in data 19 gennaio 2016 (</w:t>
      </w:r>
      <w:proofErr w:type="spellStart"/>
      <w:r>
        <w:rPr>
          <w:rFonts w:ascii="Verdana" w:eastAsia="Times New Roman" w:hAnsi="Verdana"/>
          <w:sz w:val="20"/>
          <w:szCs w:val="20"/>
        </w:rPr>
        <w:t>prot</w:t>
      </w:r>
      <w:proofErr w:type="spellEnd"/>
      <w:r>
        <w:rPr>
          <w:rFonts w:ascii="Verdana" w:eastAsia="Times New Roman" w:hAnsi="Verdana"/>
          <w:sz w:val="20"/>
          <w:szCs w:val="20"/>
        </w:rPr>
        <w:t>. n.187).</w:t>
      </w:r>
    </w:p>
    <w:p w:rsidR="006B5AAC" w:rsidRDefault="006B5AAC" w:rsidP="006B5AAC">
      <w:pPr>
        <w:spacing w:line="360" w:lineRule="auto"/>
        <w:ind w:right="-54"/>
        <w:jc w:val="both"/>
        <w:rPr>
          <w:rFonts w:ascii="Verdana" w:eastAsia="Times New Roman" w:hAnsi="Verdana"/>
          <w:sz w:val="20"/>
          <w:szCs w:val="20"/>
        </w:rPr>
      </w:pPr>
      <w:r>
        <w:rPr>
          <w:rFonts w:ascii="Verdana" w:eastAsia="Times New Roman" w:hAnsi="Verdana"/>
          <w:sz w:val="20"/>
          <w:szCs w:val="20"/>
        </w:rPr>
        <w:t>Vista la legge 14 gennaio 1994, n.20, recante disposizioni in materia di giurisdizione e controllo della Corte dei conti;</w:t>
      </w:r>
    </w:p>
    <w:p w:rsidR="006B5AAC" w:rsidRDefault="006B5AAC" w:rsidP="006B5AAC">
      <w:pPr>
        <w:spacing w:line="360" w:lineRule="auto"/>
        <w:ind w:right="-54"/>
        <w:jc w:val="both"/>
        <w:rPr>
          <w:rFonts w:ascii="Verdana" w:eastAsia="Times New Roman" w:hAnsi="Verdana"/>
          <w:sz w:val="20"/>
          <w:szCs w:val="20"/>
        </w:rPr>
      </w:pPr>
      <w:r>
        <w:rPr>
          <w:rFonts w:ascii="Verdana" w:eastAsia="Times New Roman" w:hAnsi="Verdana"/>
          <w:sz w:val="20"/>
          <w:szCs w:val="20"/>
        </w:rPr>
        <w:t>Vista la deliberazione delle Sezioni riunite della Corte dei conti n.14 del 16 giugno 2000 e successive modificazioni ed integrazioni, che ha approvato il regolamento per l’organizzazione delle funzioni di controllo della Corte dei conti;</w:t>
      </w:r>
    </w:p>
    <w:p w:rsidR="006B5AAC" w:rsidRDefault="006B5AAC" w:rsidP="006B5AAC">
      <w:pPr>
        <w:spacing w:line="360" w:lineRule="auto"/>
        <w:ind w:right="-54"/>
        <w:jc w:val="both"/>
        <w:rPr>
          <w:rFonts w:ascii="Verdana" w:eastAsia="Times New Roman" w:hAnsi="Verdana"/>
          <w:sz w:val="20"/>
          <w:szCs w:val="20"/>
        </w:rPr>
      </w:pPr>
      <w:r>
        <w:rPr>
          <w:rFonts w:ascii="Verdana" w:eastAsia="Times New Roman" w:hAnsi="Verdana"/>
          <w:sz w:val="20"/>
          <w:szCs w:val="20"/>
        </w:rPr>
        <w:t xml:space="preserve">Visto il </w:t>
      </w:r>
      <w:proofErr w:type="spellStart"/>
      <w:r>
        <w:rPr>
          <w:rFonts w:ascii="Verdana" w:eastAsia="Times New Roman" w:hAnsi="Verdana"/>
          <w:sz w:val="20"/>
          <w:szCs w:val="20"/>
        </w:rPr>
        <w:t>D.Lgs.</w:t>
      </w:r>
      <w:proofErr w:type="spellEnd"/>
      <w:r>
        <w:rPr>
          <w:rFonts w:ascii="Verdana" w:eastAsia="Times New Roman" w:hAnsi="Verdana"/>
          <w:sz w:val="20"/>
          <w:szCs w:val="20"/>
        </w:rPr>
        <w:t xml:space="preserve"> n.267/2000 (Testo unico delle leggi sull'ordinamento degli Enti locali);</w:t>
      </w:r>
    </w:p>
    <w:p w:rsidR="006B5AAC" w:rsidRDefault="006B5AAC" w:rsidP="006B5AAC">
      <w:pPr>
        <w:spacing w:line="360" w:lineRule="auto"/>
        <w:ind w:right="-54"/>
        <w:jc w:val="both"/>
        <w:rPr>
          <w:rFonts w:ascii="Verdana" w:eastAsia="Times New Roman" w:hAnsi="Verdana"/>
          <w:sz w:val="20"/>
          <w:szCs w:val="20"/>
        </w:rPr>
      </w:pPr>
      <w:r>
        <w:rPr>
          <w:rFonts w:ascii="Verdana" w:eastAsia="Times New Roman" w:hAnsi="Verdana"/>
          <w:sz w:val="20"/>
          <w:szCs w:val="20"/>
        </w:rPr>
        <w:t>Vista la legge 5 giugno 2003, n.131, recante disposizioni per l’adeguamento dell’ordinamento della Repubblica alla legge costituzionale 18 ottobre 2001, n.3;</w:t>
      </w:r>
    </w:p>
    <w:p w:rsidR="006B5AAC" w:rsidRDefault="006B5AAC" w:rsidP="006B5AAC">
      <w:pPr>
        <w:spacing w:line="360" w:lineRule="auto"/>
        <w:ind w:right="-54"/>
        <w:jc w:val="both"/>
        <w:rPr>
          <w:rFonts w:ascii="Verdana" w:eastAsia="Times New Roman" w:hAnsi="Verdana"/>
          <w:sz w:val="20"/>
          <w:szCs w:val="20"/>
        </w:rPr>
      </w:pPr>
      <w:r>
        <w:rPr>
          <w:rFonts w:ascii="Verdana" w:eastAsia="Times New Roman" w:hAnsi="Verdana"/>
          <w:sz w:val="20"/>
          <w:szCs w:val="20"/>
        </w:rPr>
        <w:t>Vista l’ordinanza presidenziale n.14/2016 con la quale la Sezione è stata convocata per la data odierna;</w:t>
      </w:r>
    </w:p>
    <w:p w:rsidR="006B5AAC" w:rsidRDefault="006B5AAC" w:rsidP="006B5AAC">
      <w:pPr>
        <w:spacing w:line="360" w:lineRule="auto"/>
        <w:ind w:right="-914"/>
        <w:jc w:val="both"/>
        <w:rPr>
          <w:rFonts w:ascii="Verdana" w:eastAsia="Times New Roman" w:hAnsi="Verdana"/>
          <w:sz w:val="20"/>
          <w:szCs w:val="20"/>
        </w:rPr>
      </w:pPr>
      <w:r>
        <w:rPr>
          <w:rFonts w:ascii="Verdana" w:eastAsia="Times New Roman" w:hAnsi="Verdana"/>
          <w:sz w:val="20"/>
          <w:szCs w:val="20"/>
        </w:rPr>
        <w:t xml:space="preserve">Udito nella camera di consiglio il Magistrato relatore Dott. Cosmo </w:t>
      </w:r>
      <w:proofErr w:type="spellStart"/>
      <w:r>
        <w:rPr>
          <w:rFonts w:ascii="Verdana" w:eastAsia="Times New Roman" w:hAnsi="Verdana"/>
          <w:sz w:val="20"/>
          <w:szCs w:val="20"/>
        </w:rPr>
        <w:t>Sciancalepore</w:t>
      </w:r>
      <w:proofErr w:type="spellEnd"/>
      <w:r>
        <w:rPr>
          <w:rFonts w:ascii="Verdana" w:eastAsia="Times New Roman" w:hAnsi="Verdana"/>
          <w:sz w:val="20"/>
          <w:szCs w:val="20"/>
        </w:rPr>
        <w:t>;</w:t>
      </w:r>
    </w:p>
    <w:p w:rsidR="006B5AAC" w:rsidRDefault="006B5AAC" w:rsidP="006B5AAC">
      <w:pPr>
        <w:spacing w:line="560" w:lineRule="exact"/>
        <w:ind w:left="540" w:right="96"/>
        <w:jc w:val="center"/>
        <w:rPr>
          <w:rFonts w:ascii="Verdana" w:eastAsia="Times New Roman" w:hAnsi="Verdana" w:cs="Arial"/>
          <w:b/>
          <w:bCs/>
          <w:sz w:val="20"/>
          <w:szCs w:val="20"/>
        </w:rPr>
      </w:pPr>
      <w:r>
        <w:rPr>
          <w:rFonts w:ascii="Verdana" w:eastAsia="Times New Roman" w:hAnsi="Verdana" w:cs="Arial"/>
          <w:b/>
          <w:bCs/>
          <w:sz w:val="20"/>
          <w:szCs w:val="20"/>
        </w:rPr>
        <w:t>FATTO</w:t>
      </w:r>
    </w:p>
    <w:p w:rsidR="006B5AAC" w:rsidRDefault="006B5AAC" w:rsidP="006B5AAC">
      <w:pPr>
        <w:spacing w:line="360" w:lineRule="auto"/>
        <w:ind w:right="-54" w:firstLine="567"/>
        <w:jc w:val="both"/>
        <w:rPr>
          <w:rFonts w:ascii="Verdana" w:eastAsia="Times New Roman" w:hAnsi="Verdana"/>
          <w:sz w:val="20"/>
          <w:szCs w:val="20"/>
        </w:rPr>
      </w:pPr>
    </w:p>
    <w:p w:rsidR="006B5AAC" w:rsidRDefault="006B5AAC" w:rsidP="006B5AAC">
      <w:pPr>
        <w:spacing w:line="360" w:lineRule="auto"/>
        <w:ind w:right="-54" w:firstLine="567"/>
        <w:jc w:val="both"/>
        <w:rPr>
          <w:rFonts w:ascii="Verdana" w:eastAsia="Times New Roman" w:hAnsi="Verdana"/>
          <w:sz w:val="20"/>
          <w:szCs w:val="20"/>
        </w:rPr>
      </w:pPr>
      <w:r>
        <w:rPr>
          <w:rFonts w:ascii="Verdana" w:eastAsia="Times New Roman" w:hAnsi="Verdana"/>
          <w:sz w:val="20"/>
          <w:szCs w:val="20"/>
        </w:rPr>
        <w:t xml:space="preserve">Con la nota indicata, il Sindaco del Comune di Lecce, dopo aver specificato che alcuni dipendenti hanno chiesto, </w:t>
      </w:r>
      <w:r>
        <w:rPr>
          <w:rFonts w:ascii="Verdana" w:eastAsia="Times New Roman" w:hAnsi="Verdana"/>
          <w:i/>
          <w:sz w:val="20"/>
          <w:szCs w:val="20"/>
        </w:rPr>
        <w:t>ex</w:t>
      </w:r>
      <w:r>
        <w:rPr>
          <w:rFonts w:ascii="Verdana" w:eastAsia="Times New Roman" w:hAnsi="Verdana"/>
          <w:sz w:val="20"/>
          <w:szCs w:val="20"/>
        </w:rPr>
        <w:t xml:space="preserve"> art.53 del </w:t>
      </w:r>
      <w:proofErr w:type="spellStart"/>
      <w:r>
        <w:rPr>
          <w:rFonts w:ascii="Verdana" w:eastAsia="Times New Roman" w:hAnsi="Verdana"/>
          <w:sz w:val="20"/>
          <w:szCs w:val="20"/>
        </w:rPr>
        <w:t>D.Lgs.</w:t>
      </w:r>
      <w:proofErr w:type="spellEnd"/>
      <w:r>
        <w:rPr>
          <w:rFonts w:ascii="Verdana" w:eastAsia="Times New Roman" w:hAnsi="Verdana"/>
          <w:sz w:val="20"/>
          <w:szCs w:val="20"/>
        </w:rPr>
        <w:t xml:space="preserve"> n.165/2001, di essere autorizzati a prestare la loro collaborazione presso l’Unione di Comuni ATO gestione rifiuti della Provincia di Lecce di cui il Comune di Lecce è ente capofila, ha chiesto se e con quali modalità tali collaborazioni possono essere autorizzate e conseguentemente remunerate dall’Unione di Comuni oppure se prevale il principio della </w:t>
      </w:r>
      <w:proofErr w:type="spellStart"/>
      <w:r>
        <w:rPr>
          <w:rFonts w:ascii="Verdana" w:eastAsia="Times New Roman" w:hAnsi="Verdana"/>
          <w:sz w:val="20"/>
          <w:szCs w:val="20"/>
        </w:rPr>
        <w:t>omnicomprensività</w:t>
      </w:r>
      <w:proofErr w:type="spellEnd"/>
      <w:r>
        <w:rPr>
          <w:rFonts w:ascii="Verdana" w:eastAsia="Times New Roman" w:hAnsi="Verdana"/>
          <w:sz w:val="20"/>
          <w:szCs w:val="20"/>
        </w:rPr>
        <w:t xml:space="preserve"> della retribuzione. </w:t>
      </w:r>
    </w:p>
    <w:p w:rsidR="006B5AAC" w:rsidRDefault="006B5AAC" w:rsidP="006B5AAC">
      <w:pPr>
        <w:spacing w:line="360" w:lineRule="auto"/>
        <w:ind w:right="-54" w:firstLine="567"/>
        <w:jc w:val="both"/>
        <w:rPr>
          <w:rFonts w:ascii="Verdana" w:eastAsia="Times New Roman" w:hAnsi="Verdana"/>
          <w:sz w:val="20"/>
          <w:szCs w:val="20"/>
        </w:rPr>
      </w:pPr>
      <w:r>
        <w:rPr>
          <w:rFonts w:ascii="Verdana" w:eastAsia="Times New Roman" w:hAnsi="Verdana"/>
          <w:sz w:val="20"/>
          <w:szCs w:val="20"/>
        </w:rPr>
        <w:lastRenderedPageBreak/>
        <w:t>L’ente istante ha precisato che la suddetta collaborazione è prevista in un regolamento e che l’attività si svolgerebbe al di fuori dell’orario di lavoro e per prestazioni non riconducibili alle mansioni svolte presso il Comune.</w:t>
      </w:r>
    </w:p>
    <w:p w:rsidR="006B5AAC" w:rsidRDefault="006B5AAC" w:rsidP="006B5AAC">
      <w:pPr>
        <w:spacing w:line="360" w:lineRule="auto"/>
        <w:ind w:right="-54" w:firstLine="567"/>
        <w:jc w:val="both"/>
        <w:rPr>
          <w:rFonts w:ascii="Verdana" w:eastAsia="Times New Roman" w:hAnsi="Verdana"/>
          <w:sz w:val="20"/>
          <w:szCs w:val="20"/>
        </w:rPr>
      </w:pPr>
      <w:r>
        <w:rPr>
          <w:rFonts w:ascii="Verdana" w:eastAsia="Times New Roman" w:hAnsi="Verdana"/>
          <w:sz w:val="20"/>
          <w:szCs w:val="20"/>
        </w:rPr>
        <w:t xml:space="preserve">  </w:t>
      </w:r>
    </w:p>
    <w:p w:rsidR="006B5AAC" w:rsidRDefault="006B5AAC" w:rsidP="006B5AAC">
      <w:pPr>
        <w:spacing w:line="360" w:lineRule="auto"/>
        <w:jc w:val="center"/>
        <w:rPr>
          <w:rFonts w:ascii="Verdana" w:eastAsia="Times New Roman" w:hAnsi="Verdana"/>
          <w:b/>
          <w:sz w:val="20"/>
          <w:szCs w:val="20"/>
        </w:rPr>
      </w:pPr>
      <w:r>
        <w:rPr>
          <w:rFonts w:ascii="Verdana" w:eastAsia="Times New Roman" w:hAnsi="Verdana"/>
          <w:b/>
          <w:sz w:val="20"/>
          <w:szCs w:val="20"/>
        </w:rPr>
        <w:t>DIRITTO</w:t>
      </w:r>
    </w:p>
    <w:p w:rsidR="006B5AAC" w:rsidRDefault="006B5AAC" w:rsidP="006B5AAC">
      <w:pPr>
        <w:spacing w:line="360" w:lineRule="auto"/>
        <w:jc w:val="center"/>
        <w:rPr>
          <w:rFonts w:ascii="Verdana" w:eastAsia="Times New Roman" w:hAnsi="Verdana"/>
          <w:b/>
          <w:sz w:val="20"/>
          <w:szCs w:val="20"/>
        </w:rPr>
      </w:pPr>
    </w:p>
    <w:p w:rsidR="006B5AAC" w:rsidRDefault="006B5AAC" w:rsidP="006B5AAC">
      <w:pPr>
        <w:numPr>
          <w:ilvl w:val="0"/>
          <w:numId w:val="1"/>
        </w:numPr>
        <w:tabs>
          <w:tab w:val="num" w:pos="851"/>
        </w:tabs>
        <w:spacing w:line="360" w:lineRule="auto"/>
        <w:ind w:right="-54" w:hanging="861"/>
        <w:jc w:val="both"/>
        <w:rPr>
          <w:rFonts w:ascii="Verdana" w:eastAsia="Times New Roman" w:hAnsi="Verdana"/>
          <w:b/>
          <w:sz w:val="20"/>
          <w:szCs w:val="20"/>
        </w:rPr>
      </w:pPr>
      <w:r>
        <w:rPr>
          <w:rFonts w:ascii="Verdana" w:eastAsia="Times New Roman" w:hAnsi="Verdana"/>
          <w:b/>
          <w:sz w:val="20"/>
          <w:szCs w:val="20"/>
        </w:rPr>
        <w:t>Ammissibilità soggettiva.</w:t>
      </w:r>
    </w:p>
    <w:p w:rsidR="006B5AAC" w:rsidRDefault="006B5AAC" w:rsidP="006B5AAC">
      <w:pPr>
        <w:spacing w:line="360" w:lineRule="auto"/>
        <w:ind w:right="-54" w:firstLine="567"/>
        <w:jc w:val="both"/>
        <w:rPr>
          <w:rFonts w:ascii="Verdana" w:eastAsia="Times New Roman" w:hAnsi="Verdana"/>
          <w:color w:val="000000"/>
          <w:sz w:val="20"/>
          <w:szCs w:val="20"/>
        </w:rPr>
      </w:pPr>
      <w:r>
        <w:rPr>
          <w:rFonts w:ascii="Verdana" w:eastAsia="Times New Roman" w:hAnsi="Verdana"/>
          <w:sz w:val="20"/>
          <w:szCs w:val="20"/>
        </w:rPr>
        <w:t>L</w:t>
      </w:r>
      <w:r>
        <w:rPr>
          <w:rFonts w:ascii="Verdana" w:eastAsia="Times New Roman" w:hAnsi="Verdana"/>
          <w:color w:val="000000"/>
          <w:sz w:val="20"/>
          <w:szCs w:val="20"/>
        </w:rPr>
        <w:t xml:space="preserve">’art.7, co.8, della legge n.131/2003 prevede che gli enti locali possono chiedere pareri in materia di contabilità pubblica alle Sezioni regionali di controllo della Corte dei conti </w:t>
      </w:r>
      <w:r>
        <w:rPr>
          <w:rFonts w:ascii="Verdana" w:eastAsia="Times New Roman" w:hAnsi="Verdana"/>
          <w:i/>
          <w:iCs/>
          <w:color w:val="000000"/>
          <w:sz w:val="20"/>
          <w:szCs w:val="20"/>
        </w:rPr>
        <w:t>“… di norma, tramite il Consiglio delle Autonomie Locali …”</w:t>
      </w:r>
      <w:r>
        <w:rPr>
          <w:rFonts w:ascii="Verdana" w:eastAsia="Times New Roman" w:hAnsi="Verdana"/>
          <w:color w:val="000000"/>
          <w:sz w:val="20"/>
          <w:szCs w:val="20"/>
        </w:rPr>
        <w:t xml:space="preserve">. </w:t>
      </w:r>
      <w:r>
        <w:rPr>
          <w:rFonts w:ascii="Verdana" w:eastAsia="Times New Roman" w:hAnsi="Verdana"/>
          <w:sz w:val="20"/>
          <w:szCs w:val="20"/>
        </w:rPr>
        <w:t>Riguardo a tale aspetto, la Sezione ritiene non esservi motivo per discostarsi dall’orientamento, sin qui seguito, secondo il quale la mancanza di detto organo, allo stato istituito nella Regione Puglia (L.R. n.29 del 26 ottobre 2007) ma ancora non operante, non può precludere l’esercizio di una facoltà attribuita dalla legge agli enti locali ed alla stessa Regione.</w:t>
      </w:r>
    </w:p>
    <w:p w:rsidR="006B5AAC" w:rsidRDefault="006B5AAC" w:rsidP="006B5AAC">
      <w:pPr>
        <w:tabs>
          <w:tab w:val="left" w:pos="567"/>
        </w:tabs>
        <w:autoSpaceDE w:val="0"/>
        <w:autoSpaceDN w:val="0"/>
        <w:adjustRightInd w:val="0"/>
        <w:spacing w:line="360" w:lineRule="auto"/>
        <w:ind w:right="-54" w:firstLine="567"/>
        <w:jc w:val="both"/>
        <w:rPr>
          <w:rFonts w:ascii="Verdana" w:eastAsia="Times New Roman" w:hAnsi="Verdana"/>
          <w:sz w:val="20"/>
          <w:szCs w:val="20"/>
        </w:rPr>
      </w:pPr>
      <w:r>
        <w:rPr>
          <w:rFonts w:ascii="Verdana" w:eastAsia="Times New Roman" w:hAnsi="Verdana"/>
          <w:sz w:val="20"/>
          <w:szCs w:val="20"/>
        </w:rPr>
        <w:tab/>
        <w:t xml:space="preserve">Pertanto, nelle more dell’operatività del Consiglio delle autonomie locali, la richiesta di parere deve considerarsi ammissibile, sotto il profilo soggettivo, se ed in quanto formulata dall’organo di vertice dell’Amministrazione, legittimato ad esprimere la volontà dell’Ente essendo munito di rappresentanza legale esterna. Tale organo, nel caso del Comune, è il Sindaco ai sensi dell’art.50 del </w:t>
      </w:r>
      <w:proofErr w:type="spellStart"/>
      <w:r>
        <w:rPr>
          <w:rFonts w:ascii="Verdana" w:eastAsia="Times New Roman" w:hAnsi="Verdana"/>
          <w:sz w:val="20"/>
          <w:szCs w:val="20"/>
        </w:rPr>
        <w:t>D.Lgs.</w:t>
      </w:r>
      <w:proofErr w:type="spellEnd"/>
      <w:r>
        <w:rPr>
          <w:rFonts w:ascii="Verdana" w:eastAsia="Times New Roman" w:hAnsi="Verdana"/>
          <w:sz w:val="20"/>
          <w:szCs w:val="20"/>
        </w:rPr>
        <w:t xml:space="preserve"> n.267/2000. </w:t>
      </w:r>
    </w:p>
    <w:p w:rsidR="006B5AAC" w:rsidRDefault="006B5AAC" w:rsidP="006B5AAC">
      <w:pPr>
        <w:tabs>
          <w:tab w:val="left" w:pos="720"/>
        </w:tabs>
        <w:autoSpaceDE w:val="0"/>
        <w:autoSpaceDN w:val="0"/>
        <w:adjustRightInd w:val="0"/>
        <w:spacing w:line="360" w:lineRule="auto"/>
        <w:ind w:right="-54" w:firstLine="567"/>
        <w:jc w:val="both"/>
        <w:rPr>
          <w:rFonts w:ascii="Verdana" w:eastAsia="Times New Roman" w:hAnsi="Verdana"/>
          <w:sz w:val="20"/>
          <w:szCs w:val="20"/>
        </w:rPr>
      </w:pPr>
      <w:r>
        <w:rPr>
          <w:rFonts w:ascii="Verdana" w:eastAsia="Times New Roman" w:hAnsi="Verdana"/>
          <w:sz w:val="20"/>
          <w:szCs w:val="20"/>
        </w:rPr>
        <w:t xml:space="preserve">Al riguardo, si osserva che la richiesta di parere in esame, proviene dal Sindaco del Comune di Lecce e, pertanto, deve ritenersi ammissibile sul piano soggettivo.  </w:t>
      </w:r>
    </w:p>
    <w:p w:rsidR="006B5AAC" w:rsidRDefault="006B5AAC" w:rsidP="006B5AAC">
      <w:pPr>
        <w:tabs>
          <w:tab w:val="left" w:pos="720"/>
        </w:tabs>
        <w:autoSpaceDE w:val="0"/>
        <w:autoSpaceDN w:val="0"/>
        <w:adjustRightInd w:val="0"/>
        <w:spacing w:line="360" w:lineRule="auto"/>
        <w:ind w:right="-54" w:firstLine="567"/>
        <w:jc w:val="both"/>
        <w:rPr>
          <w:rFonts w:ascii="Verdana" w:eastAsia="Times New Roman" w:hAnsi="Verdana"/>
          <w:sz w:val="20"/>
          <w:szCs w:val="20"/>
        </w:rPr>
      </w:pPr>
      <w:r>
        <w:rPr>
          <w:rFonts w:ascii="Verdana" w:eastAsia="Times New Roman" w:hAnsi="Verdana"/>
          <w:sz w:val="20"/>
          <w:szCs w:val="20"/>
        </w:rPr>
        <w:t xml:space="preserve">   </w:t>
      </w:r>
      <w:r>
        <w:rPr>
          <w:rFonts w:ascii="Verdana" w:eastAsia="Times New Roman" w:hAnsi="Verdana"/>
          <w:sz w:val="20"/>
          <w:szCs w:val="20"/>
        </w:rPr>
        <w:tab/>
      </w:r>
    </w:p>
    <w:p w:rsidR="006B5AAC" w:rsidRDefault="006B5AAC" w:rsidP="006B5AAC">
      <w:pPr>
        <w:tabs>
          <w:tab w:val="left" w:pos="567"/>
        </w:tabs>
        <w:autoSpaceDE w:val="0"/>
        <w:autoSpaceDN w:val="0"/>
        <w:adjustRightInd w:val="0"/>
        <w:spacing w:line="360" w:lineRule="auto"/>
        <w:ind w:right="-54"/>
        <w:jc w:val="both"/>
        <w:rPr>
          <w:rFonts w:ascii="Verdana" w:eastAsia="Times New Roman" w:hAnsi="Verdana"/>
          <w:sz w:val="20"/>
          <w:szCs w:val="20"/>
        </w:rPr>
      </w:pPr>
      <w:r>
        <w:rPr>
          <w:rFonts w:ascii="Verdana" w:eastAsia="Times New Roman" w:hAnsi="Verdana"/>
          <w:sz w:val="20"/>
          <w:szCs w:val="20"/>
        </w:rPr>
        <w:tab/>
      </w:r>
      <w:r>
        <w:rPr>
          <w:rFonts w:ascii="Verdana" w:eastAsia="Times New Roman" w:hAnsi="Verdana"/>
          <w:b/>
          <w:sz w:val="20"/>
          <w:szCs w:val="20"/>
        </w:rPr>
        <w:t>2.</w:t>
      </w:r>
      <w:r>
        <w:rPr>
          <w:rFonts w:ascii="Verdana" w:eastAsia="Times New Roman" w:hAnsi="Verdana"/>
          <w:sz w:val="20"/>
          <w:szCs w:val="20"/>
        </w:rPr>
        <w:t xml:space="preserve"> </w:t>
      </w:r>
      <w:r>
        <w:rPr>
          <w:rFonts w:ascii="Verdana" w:eastAsia="Times New Roman" w:hAnsi="Verdana"/>
          <w:b/>
          <w:sz w:val="20"/>
          <w:szCs w:val="20"/>
        </w:rPr>
        <w:t>Ammissibilità oggettiva.</w:t>
      </w:r>
    </w:p>
    <w:p w:rsidR="006B5AAC" w:rsidRDefault="006B5AAC" w:rsidP="006B5AAC">
      <w:pPr>
        <w:tabs>
          <w:tab w:val="left" w:pos="567"/>
        </w:tabs>
        <w:autoSpaceDE w:val="0"/>
        <w:autoSpaceDN w:val="0"/>
        <w:adjustRightInd w:val="0"/>
        <w:spacing w:line="360" w:lineRule="auto"/>
        <w:ind w:right="-54" w:firstLine="567"/>
        <w:jc w:val="both"/>
        <w:rPr>
          <w:rFonts w:ascii="Verdana" w:eastAsia="Times New Roman" w:hAnsi="Verdana"/>
          <w:sz w:val="20"/>
          <w:szCs w:val="20"/>
        </w:rPr>
      </w:pPr>
      <w:r>
        <w:rPr>
          <w:rFonts w:ascii="Verdana" w:eastAsia="Times New Roman" w:hAnsi="Verdana"/>
          <w:sz w:val="20"/>
          <w:szCs w:val="20"/>
        </w:rPr>
        <w:t>Con riferimento all’ammissibilità del quesito, sottoposto all’attenzione della Sezione, sotto il profilo oggettivo, si rende, invece, necessario vagliare la ricorrenza delle condizioni e dei requisiti previsti dalla vigente normativa ed elaborati dalla consolidata giurisprudenza delle Sezioni Riunite in sede di controllo, della Sezione delle Autonomie, nonché delle Sezioni regionali di controllo.</w:t>
      </w:r>
    </w:p>
    <w:p w:rsidR="006B5AAC" w:rsidRDefault="006B5AAC" w:rsidP="006B5AAC">
      <w:pPr>
        <w:spacing w:line="360" w:lineRule="auto"/>
        <w:ind w:right="-1" w:firstLine="567"/>
        <w:jc w:val="both"/>
        <w:rPr>
          <w:rFonts w:ascii="Verdana" w:hAnsi="Verdana"/>
          <w:color w:val="000000"/>
          <w:sz w:val="20"/>
          <w:szCs w:val="20"/>
          <w:lang w:eastAsia="en-US"/>
        </w:rPr>
      </w:pPr>
      <w:r>
        <w:rPr>
          <w:rFonts w:ascii="Verdana" w:hAnsi="Verdana"/>
          <w:bCs/>
          <w:color w:val="000000"/>
          <w:sz w:val="20"/>
          <w:szCs w:val="20"/>
        </w:rPr>
        <w:t>L’art.7, co.8, della legge 131/2003 “</w:t>
      </w:r>
      <w:r>
        <w:rPr>
          <w:rFonts w:ascii="Verdana" w:hAnsi="Verdana"/>
          <w:bCs/>
          <w:i/>
          <w:color w:val="000000"/>
          <w:sz w:val="20"/>
          <w:szCs w:val="20"/>
        </w:rPr>
        <w:t>conferisce alle Sezioni regionali di controllo della Corte dei conti non già una funzione di consulenza di portata generale, bensì limitata alla materia di contabilità pubblica</w:t>
      </w:r>
      <w:r>
        <w:rPr>
          <w:rFonts w:ascii="Verdana" w:hAnsi="Verdana"/>
          <w:bCs/>
          <w:color w:val="000000"/>
          <w:sz w:val="20"/>
          <w:szCs w:val="20"/>
        </w:rPr>
        <w:t xml:space="preserve">” (deliberazione delle SS.RR n.54/CONTR/2010). </w:t>
      </w:r>
      <w:r>
        <w:rPr>
          <w:rFonts w:ascii="Verdana" w:hAnsi="Verdana"/>
          <w:sz w:val="20"/>
          <w:szCs w:val="20"/>
        </w:rPr>
        <w:t xml:space="preserve">Per consolidato orientamento, la funzione consultiva assegnata alla Corte dei conti deve trattare, inoltre, ambiti ed oggetti di carattere generale e non fatti gestionali specifici, non può riguardare provvedimenti già formalmente adottati e non può interferire con le funzioni assegnate ad altre Magistrature o alla stessa Corte dei conti. </w:t>
      </w:r>
      <w:r>
        <w:rPr>
          <w:rFonts w:ascii="Verdana" w:hAnsi="Verdana"/>
          <w:color w:val="000000"/>
          <w:sz w:val="20"/>
          <w:szCs w:val="20"/>
          <w:lang w:eastAsia="en-US"/>
        </w:rPr>
        <w:t>Devono, pertanto, ritenersi inammissibili sul piano oggettivo le richieste di parere concernenti valutazioni su casi o atti gestionali specifici tali da determinare una ingerenza della Corte nella concreta attività dell’Ente e, in ultima analisi, una compartecipazione alla amministrazione attiva, incompatibile con la posizione di terzietà ed indipendenza della Corte quale organo magistratuale.</w:t>
      </w:r>
    </w:p>
    <w:p w:rsidR="006B5AAC" w:rsidRDefault="006B5AAC" w:rsidP="006B5AAC">
      <w:pPr>
        <w:spacing w:line="360" w:lineRule="auto"/>
        <w:ind w:right="-1" w:firstLine="567"/>
        <w:jc w:val="both"/>
        <w:rPr>
          <w:rFonts w:ascii="Verdana" w:hAnsi="Verdana"/>
          <w:color w:val="000000"/>
          <w:sz w:val="20"/>
          <w:szCs w:val="20"/>
        </w:rPr>
      </w:pPr>
      <w:r>
        <w:rPr>
          <w:rFonts w:ascii="Verdana" w:hAnsi="Verdana"/>
          <w:color w:val="000000"/>
          <w:sz w:val="20"/>
          <w:szCs w:val="20"/>
        </w:rPr>
        <w:lastRenderedPageBreak/>
        <w:t xml:space="preserve">Tanto premesso, la descritta richiesta presentata dal Sindaco del Comune di Lecce, rientrante nell’ambito della contabilità pubblica, risulta oggettivamente ammissibile solo nella misura in cui è diretta a conoscere l’orientamento di questa Sezione sulla estensione del </w:t>
      </w:r>
      <w:r>
        <w:rPr>
          <w:rFonts w:ascii="Verdana" w:eastAsia="Times New Roman" w:hAnsi="Verdana"/>
          <w:sz w:val="20"/>
          <w:szCs w:val="20"/>
        </w:rPr>
        <w:t xml:space="preserve">principio della </w:t>
      </w:r>
      <w:proofErr w:type="spellStart"/>
      <w:r>
        <w:rPr>
          <w:rFonts w:ascii="Verdana" w:eastAsia="Times New Roman" w:hAnsi="Verdana"/>
          <w:sz w:val="20"/>
          <w:szCs w:val="20"/>
        </w:rPr>
        <w:t>omnicomprensività</w:t>
      </w:r>
      <w:proofErr w:type="spellEnd"/>
      <w:r>
        <w:rPr>
          <w:rFonts w:ascii="Verdana" w:eastAsia="Times New Roman" w:hAnsi="Verdana"/>
          <w:sz w:val="20"/>
          <w:szCs w:val="20"/>
        </w:rPr>
        <w:t xml:space="preserve"> della retribuzione</w:t>
      </w:r>
      <w:r>
        <w:rPr>
          <w:rFonts w:ascii="Verdana" w:hAnsi="Verdana"/>
          <w:color w:val="000000"/>
          <w:sz w:val="20"/>
          <w:szCs w:val="20"/>
        </w:rPr>
        <w:t xml:space="preserve">. </w:t>
      </w:r>
    </w:p>
    <w:p w:rsidR="006B5AAC" w:rsidRDefault="006B5AAC" w:rsidP="006B5AAC">
      <w:pPr>
        <w:tabs>
          <w:tab w:val="left" w:pos="567"/>
        </w:tabs>
        <w:autoSpaceDE w:val="0"/>
        <w:autoSpaceDN w:val="0"/>
        <w:adjustRightInd w:val="0"/>
        <w:spacing w:line="360" w:lineRule="auto"/>
        <w:ind w:right="-54" w:firstLine="567"/>
        <w:jc w:val="both"/>
        <w:rPr>
          <w:rFonts w:ascii="Verdana" w:hAnsi="Verdana"/>
          <w:color w:val="000000"/>
          <w:sz w:val="20"/>
          <w:szCs w:val="20"/>
        </w:rPr>
      </w:pPr>
    </w:p>
    <w:p w:rsidR="006B5AAC" w:rsidRDefault="006B5AAC" w:rsidP="006B5AAC">
      <w:pPr>
        <w:numPr>
          <w:ilvl w:val="0"/>
          <w:numId w:val="2"/>
        </w:numPr>
        <w:tabs>
          <w:tab w:val="left" w:pos="567"/>
        </w:tabs>
        <w:autoSpaceDE w:val="0"/>
        <w:autoSpaceDN w:val="0"/>
        <w:adjustRightInd w:val="0"/>
        <w:spacing w:line="360" w:lineRule="auto"/>
        <w:ind w:left="851" w:right="-54" w:hanging="284"/>
        <w:jc w:val="both"/>
        <w:rPr>
          <w:rFonts w:ascii="Verdana" w:hAnsi="Verdana"/>
          <w:b/>
          <w:color w:val="000000"/>
          <w:sz w:val="20"/>
          <w:szCs w:val="20"/>
        </w:rPr>
      </w:pPr>
      <w:r>
        <w:rPr>
          <w:rFonts w:ascii="Verdana" w:hAnsi="Verdana"/>
          <w:b/>
          <w:color w:val="000000"/>
          <w:sz w:val="20"/>
          <w:szCs w:val="20"/>
        </w:rPr>
        <w:t>Merito.</w:t>
      </w:r>
    </w:p>
    <w:p w:rsidR="006B5AAC" w:rsidRDefault="006B5AAC" w:rsidP="006B5AAC">
      <w:pPr>
        <w:autoSpaceDE w:val="0"/>
        <w:autoSpaceDN w:val="0"/>
        <w:adjustRightInd w:val="0"/>
        <w:spacing w:line="360" w:lineRule="auto"/>
        <w:ind w:right="-54" w:firstLine="567"/>
        <w:jc w:val="both"/>
        <w:rPr>
          <w:rFonts w:ascii="Verdana" w:hAnsi="Verdana"/>
          <w:sz w:val="20"/>
          <w:szCs w:val="20"/>
        </w:rPr>
      </w:pPr>
      <w:r>
        <w:rPr>
          <w:rFonts w:ascii="Verdana" w:hAnsi="Verdana"/>
          <w:color w:val="000000"/>
          <w:sz w:val="20"/>
          <w:szCs w:val="20"/>
        </w:rPr>
        <w:t>In conformità a quanto espresso in tema di ammissibilità, sul piano oggettivo, del quesito in esame,</w:t>
      </w:r>
      <w:r>
        <w:rPr>
          <w:rFonts w:ascii="Verdana" w:hAnsi="Verdana"/>
          <w:b/>
          <w:color w:val="000000"/>
          <w:sz w:val="20"/>
          <w:szCs w:val="20"/>
        </w:rPr>
        <w:t xml:space="preserve"> </w:t>
      </w:r>
      <w:r>
        <w:rPr>
          <w:rFonts w:ascii="Verdana" w:hAnsi="Verdana"/>
          <w:sz w:val="20"/>
          <w:szCs w:val="20"/>
        </w:rPr>
        <w:t xml:space="preserve">deve preliminarmente evidenziarsi, essendo preclusa qualunque interferenza di questa Sezione sulle scelte gestionali concrete riservate alla discrezionalità dell’ente, che l’analisi delle questioni proposte rimane circoscritta ai soli profili generali ed astratti relativi al principio della </w:t>
      </w:r>
      <w:proofErr w:type="spellStart"/>
      <w:r>
        <w:rPr>
          <w:rFonts w:ascii="Verdana" w:hAnsi="Verdana"/>
          <w:sz w:val="20"/>
          <w:szCs w:val="20"/>
        </w:rPr>
        <w:t>omnicomprensività</w:t>
      </w:r>
      <w:proofErr w:type="spellEnd"/>
      <w:r>
        <w:rPr>
          <w:rFonts w:ascii="Verdana" w:hAnsi="Verdana"/>
          <w:sz w:val="20"/>
          <w:szCs w:val="20"/>
        </w:rPr>
        <w:t xml:space="preserve"> della retribuzione.</w:t>
      </w:r>
    </w:p>
    <w:p w:rsidR="006B5AAC" w:rsidRDefault="006B5AAC" w:rsidP="006B5AAC">
      <w:pPr>
        <w:autoSpaceDE w:val="0"/>
        <w:autoSpaceDN w:val="0"/>
        <w:adjustRightInd w:val="0"/>
        <w:spacing w:line="360" w:lineRule="auto"/>
        <w:ind w:right="-54" w:firstLine="567"/>
        <w:jc w:val="both"/>
        <w:rPr>
          <w:rFonts w:ascii="Verdana" w:hAnsi="Verdana"/>
          <w:sz w:val="20"/>
          <w:szCs w:val="20"/>
        </w:rPr>
      </w:pPr>
      <w:r>
        <w:rPr>
          <w:rFonts w:ascii="Verdana" w:hAnsi="Verdana"/>
          <w:sz w:val="20"/>
          <w:szCs w:val="20"/>
        </w:rPr>
        <w:t xml:space="preserve">Tale principio, riportato in varie norme legislative e contrattuali, sostanzialmente vieta la corresponsione ai dipendenti pubblici di indennità, proventi o compensi di qualsiasi tipo, aggiuntivi rispetto all’ordinario trattamento economico, per lo svolgimento di attività riconducibili ai compiti istituzionali attribuiti. Il principio di </w:t>
      </w:r>
      <w:proofErr w:type="spellStart"/>
      <w:r>
        <w:rPr>
          <w:rFonts w:ascii="Verdana" w:hAnsi="Verdana"/>
          <w:sz w:val="20"/>
          <w:szCs w:val="20"/>
        </w:rPr>
        <w:t>omnicomprensività</w:t>
      </w:r>
      <w:proofErr w:type="spellEnd"/>
      <w:r>
        <w:rPr>
          <w:rFonts w:ascii="Verdana" w:hAnsi="Verdana"/>
          <w:sz w:val="20"/>
          <w:szCs w:val="20"/>
        </w:rPr>
        <w:t xml:space="preserve"> del trattamento economico dei dipendenti pubblici si ricava chiaramente dalla inderogabilità della struttura della retribuzione stabilita dai contratti collettivi nazionali di lavoro (articoli 2, 24 e 45 del </w:t>
      </w:r>
      <w:proofErr w:type="spellStart"/>
      <w:r>
        <w:rPr>
          <w:rFonts w:ascii="Verdana" w:hAnsi="Verdana"/>
          <w:sz w:val="20"/>
          <w:szCs w:val="20"/>
        </w:rPr>
        <w:t>D.Lgs.</w:t>
      </w:r>
      <w:proofErr w:type="spellEnd"/>
      <w:r>
        <w:rPr>
          <w:rFonts w:ascii="Verdana" w:hAnsi="Verdana"/>
          <w:sz w:val="20"/>
          <w:szCs w:val="20"/>
        </w:rPr>
        <w:t xml:space="preserve"> n.165/2001) ed è pacificamente ritenuto compatibile con l’art.36 </w:t>
      </w:r>
      <w:proofErr w:type="spellStart"/>
      <w:r>
        <w:rPr>
          <w:rFonts w:ascii="Verdana" w:hAnsi="Verdana"/>
          <w:sz w:val="20"/>
          <w:szCs w:val="20"/>
        </w:rPr>
        <w:t>Cost</w:t>
      </w:r>
      <w:proofErr w:type="spellEnd"/>
      <w:r>
        <w:rPr>
          <w:rFonts w:ascii="Verdana" w:hAnsi="Verdana"/>
          <w:sz w:val="20"/>
          <w:szCs w:val="20"/>
        </w:rPr>
        <w:t>..</w:t>
      </w:r>
    </w:p>
    <w:p w:rsidR="006B5AAC" w:rsidRDefault="006B5AAC" w:rsidP="006B5AAC">
      <w:pPr>
        <w:autoSpaceDE w:val="0"/>
        <w:autoSpaceDN w:val="0"/>
        <w:adjustRightInd w:val="0"/>
        <w:spacing w:line="360" w:lineRule="auto"/>
        <w:ind w:right="-54" w:firstLine="567"/>
        <w:jc w:val="both"/>
        <w:rPr>
          <w:rFonts w:ascii="Verdana" w:eastAsia="Times New Roman" w:hAnsi="Verdana" w:cs="Arial"/>
          <w:color w:val="000000"/>
          <w:sz w:val="20"/>
          <w:szCs w:val="20"/>
          <w:lang w:eastAsia="it-IT"/>
        </w:rPr>
      </w:pPr>
      <w:r>
        <w:rPr>
          <w:rFonts w:ascii="Verdana" w:hAnsi="Verdana"/>
          <w:sz w:val="20"/>
          <w:szCs w:val="20"/>
        </w:rPr>
        <w:t xml:space="preserve">La giurisprudenza contabile </w:t>
      </w:r>
      <w:r>
        <w:rPr>
          <w:rFonts w:ascii="Verdana" w:eastAsia="Times New Roman" w:hAnsi="Verdana" w:cs="Arial"/>
          <w:color w:val="000000"/>
          <w:sz w:val="20"/>
          <w:szCs w:val="20"/>
          <w:lang w:eastAsia="it-IT"/>
        </w:rPr>
        <w:t>ha costantemente af</w:t>
      </w:r>
      <w:r>
        <w:rPr>
          <w:rFonts w:ascii="Verdana" w:eastAsia="Times New Roman" w:hAnsi="Verdana" w:cs="Arial"/>
          <w:color w:val="000000"/>
          <w:sz w:val="20"/>
          <w:szCs w:val="20"/>
          <w:lang w:eastAsia="it-IT"/>
        </w:rPr>
        <w:softHyphen/>
        <w:t>fer</w:t>
      </w:r>
      <w:r>
        <w:rPr>
          <w:rFonts w:ascii="Verdana" w:eastAsia="Times New Roman" w:hAnsi="Verdana" w:cs="Arial"/>
          <w:color w:val="000000"/>
          <w:sz w:val="20"/>
          <w:szCs w:val="20"/>
          <w:lang w:eastAsia="it-IT"/>
        </w:rPr>
        <w:softHyphen/>
        <w:t>ma</w:t>
      </w:r>
      <w:r>
        <w:rPr>
          <w:rFonts w:ascii="Verdana" w:eastAsia="Times New Roman" w:hAnsi="Verdana" w:cs="Arial"/>
          <w:color w:val="000000"/>
          <w:sz w:val="20"/>
          <w:szCs w:val="20"/>
          <w:lang w:eastAsia="it-IT"/>
        </w:rPr>
        <w:softHyphen/>
        <w:t>to che la re</w:t>
      </w:r>
      <w:r>
        <w:rPr>
          <w:rFonts w:ascii="Verdana" w:eastAsia="Times New Roman" w:hAnsi="Verdana" w:cs="Arial"/>
          <w:color w:val="000000"/>
          <w:sz w:val="20"/>
          <w:szCs w:val="20"/>
          <w:lang w:eastAsia="it-IT"/>
        </w:rPr>
        <w:softHyphen/>
        <w:t>go</w:t>
      </w:r>
      <w:r>
        <w:rPr>
          <w:rFonts w:ascii="Verdana" w:eastAsia="Times New Roman" w:hAnsi="Verdana" w:cs="Arial"/>
          <w:color w:val="000000"/>
          <w:sz w:val="20"/>
          <w:szCs w:val="20"/>
          <w:lang w:eastAsia="it-IT"/>
        </w:rPr>
        <w:softHyphen/>
        <w:t>la del</w:t>
      </w:r>
      <w:r>
        <w:rPr>
          <w:rFonts w:ascii="Verdana" w:eastAsia="Times New Roman" w:hAnsi="Verdana" w:cs="Arial"/>
          <w:color w:val="000000"/>
          <w:sz w:val="20"/>
          <w:szCs w:val="20"/>
          <w:lang w:eastAsia="it-IT"/>
        </w:rPr>
        <w:softHyphen/>
        <w:t>l’on</w:t>
      </w:r>
      <w:r>
        <w:rPr>
          <w:rFonts w:ascii="Verdana" w:eastAsia="Times New Roman" w:hAnsi="Verdana" w:cs="Arial"/>
          <w:color w:val="000000"/>
          <w:sz w:val="20"/>
          <w:szCs w:val="20"/>
          <w:lang w:eastAsia="it-IT"/>
        </w:rPr>
        <w:softHyphen/>
        <w:t>ni</w:t>
      </w:r>
      <w:r>
        <w:rPr>
          <w:rFonts w:ascii="Verdana" w:eastAsia="Times New Roman" w:hAnsi="Verdana" w:cs="Arial"/>
          <w:color w:val="000000"/>
          <w:sz w:val="20"/>
          <w:szCs w:val="20"/>
          <w:lang w:eastAsia="it-IT"/>
        </w:rPr>
        <w:softHyphen/>
        <w:t>com</w:t>
      </w:r>
      <w:r>
        <w:rPr>
          <w:rFonts w:ascii="Verdana" w:eastAsia="Times New Roman" w:hAnsi="Verdana" w:cs="Arial"/>
          <w:color w:val="000000"/>
          <w:sz w:val="20"/>
          <w:szCs w:val="20"/>
          <w:lang w:eastAsia="it-IT"/>
        </w:rPr>
        <w:softHyphen/>
        <w:t>pren</w:t>
      </w:r>
      <w:r>
        <w:rPr>
          <w:rFonts w:ascii="Verdana" w:eastAsia="Times New Roman" w:hAnsi="Verdana" w:cs="Arial"/>
          <w:color w:val="000000"/>
          <w:sz w:val="20"/>
          <w:szCs w:val="20"/>
          <w:lang w:eastAsia="it-IT"/>
        </w:rPr>
        <w:softHyphen/>
        <w:t>si</w:t>
      </w:r>
      <w:r>
        <w:rPr>
          <w:rFonts w:ascii="Verdana" w:eastAsia="Times New Roman" w:hAnsi="Verdana" w:cs="Arial"/>
          <w:color w:val="000000"/>
          <w:sz w:val="20"/>
          <w:szCs w:val="20"/>
          <w:lang w:eastAsia="it-IT"/>
        </w:rPr>
        <w:softHyphen/>
        <w:t>vi</w:t>
      </w:r>
      <w:r>
        <w:rPr>
          <w:rFonts w:ascii="Verdana" w:eastAsia="Times New Roman" w:hAnsi="Verdana" w:cs="Arial"/>
          <w:color w:val="000000"/>
          <w:sz w:val="20"/>
          <w:szCs w:val="20"/>
          <w:lang w:eastAsia="it-IT"/>
        </w:rPr>
        <w:softHyphen/>
        <w:t>tà della re</w:t>
      </w:r>
      <w:r>
        <w:rPr>
          <w:rFonts w:ascii="Verdana" w:eastAsia="Times New Roman" w:hAnsi="Verdana" w:cs="Arial"/>
          <w:color w:val="000000"/>
          <w:sz w:val="20"/>
          <w:szCs w:val="20"/>
          <w:lang w:eastAsia="it-IT"/>
        </w:rPr>
        <w:softHyphen/>
        <w:t>tri</w:t>
      </w:r>
      <w:r>
        <w:rPr>
          <w:rFonts w:ascii="Verdana" w:eastAsia="Times New Roman" w:hAnsi="Verdana" w:cs="Arial"/>
          <w:color w:val="000000"/>
          <w:sz w:val="20"/>
          <w:szCs w:val="20"/>
          <w:lang w:eastAsia="it-IT"/>
        </w:rPr>
        <w:softHyphen/>
        <w:t>bu</w:t>
      </w:r>
      <w:r>
        <w:rPr>
          <w:rFonts w:ascii="Verdana" w:eastAsia="Times New Roman" w:hAnsi="Verdana" w:cs="Arial"/>
          <w:color w:val="000000"/>
          <w:sz w:val="20"/>
          <w:szCs w:val="20"/>
          <w:lang w:eastAsia="it-IT"/>
        </w:rPr>
        <w:softHyphen/>
        <w:t>zio</w:t>
      </w:r>
      <w:r>
        <w:rPr>
          <w:rFonts w:ascii="Verdana" w:eastAsia="Times New Roman" w:hAnsi="Verdana" w:cs="Arial"/>
          <w:color w:val="000000"/>
          <w:sz w:val="20"/>
          <w:szCs w:val="20"/>
          <w:lang w:eastAsia="it-IT"/>
        </w:rPr>
        <w:softHyphen/>
        <w:t>ne dei pub</w:t>
      </w:r>
      <w:r>
        <w:rPr>
          <w:rFonts w:ascii="Verdana" w:eastAsia="Times New Roman" w:hAnsi="Verdana" w:cs="Arial"/>
          <w:color w:val="000000"/>
          <w:sz w:val="20"/>
          <w:szCs w:val="20"/>
          <w:lang w:eastAsia="it-IT"/>
        </w:rPr>
        <w:softHyphen/>
        <w:t>bli</w:t>
      </w:r>
      <w:r>
        <w:rPr>
          <w:rFonts w:ascii="Verdana" w:eastAsia="Times New Roman" w:hAnsi="Verdana" w:cs="Arial"/>
          <w:color w:val="000000"/>
          <w:sz w:val="20"/>
          <w:szCs w:val="20"/>
          <w:lang w:eastAsia="it-IT"/>
        </w:rPr>
        <w:softHyphen/>
        <w:t>ci di</w:t>
      </w:r>
      <w:r>
        <w:rPr>
          <w:rFonts w:ascii="Verdana" w:eastAsia="Times New Roman" w:hAnsi="Verdana" w:cs="Arial"/>
          <w:color w:val="000000"/>
          <w:sz w:val="20"/>
          <w:szCs w:val="20"/>
          <w:lang w:eastAsia="it-IT"/>
        </w:rPr>
        <w:softHyphen/>
        <w:t>pen</w:t>
      </w:r>
      <w:r>
        <w:rPr>
          <w:rFonts w:ascii="Verdana" w:eastAsia="Times New Roman" w:hAnsi="Verdana" w:cs="Arial"/>
          <w:color w:val="000000"/>
          <w:sz w:val="20"/>
          <w:szCs w:val="20"/>
          <w:lang w:eastAsia="it-IT"/>
        </w:rPr>
        <w:softHyphen/>
        <w:t>den</w:t>
      </w:r>
      <w:r>
        <w:rPr>
          <w:rFonts w:ascii="Verdana" w:eastAsia="Times New Roman" w:hAnsi="Verdana" w:cs="Arial"/>
          <w:color w:val="000000"/>
          <w:sz w:val="20"/>
          <w:szCs w:val="20"/>
          <w:lang w:eastAsia="it-IT"/>
        </w:rPr>
        <w:softHyphen/>
        <w:t>ti non va ri</w:t>
      </w:r>
      <w:r>
        <w:rPr>
          <w:rFonts w:ascii="Verdana" w:eastAsia="Times New Roman" w:hAnsi="Verdana" w:cs="Arial"/>
          <w:color w:val="000000"/>
          <w:sz w:val="20"/>
          <w:szCs w:val="20"/>
          <w:lang w:eastAsia="it-IT"/>
        </w:rPr>
        <w:softHyphen/>
        <w:t>col</w:t>
      </w:r>
      <w:r>
        <w:rPr>
          <w:rFonts w:ascii="Verdana" w:eastAsia="Times New Roman" w:hAnsi="Verdana" w:cs="Arial"/>
          <w:color w:val="000000"/>
          <w:sz w:val="20"/>
          <w:szCs w:val="20"/>
          <w:lang w:eastAsia="it-IT"/>
        </w:rPr>
        <w:softHyphen/>
        <w:t>le</w:t>
      </w:r>
      <w:r>
        <w:rPr>
          <w:rFonts w:ascii="Verdana" w:eastAsia="Times New Roman" w:hAnsi="Verdana" w:cs="Arial"/>
          <w:color w:val="000000"/>
          <w:sz w:val="20"/>
          <w:szCs w:val="20"/>
          <w:lang w:eastAsia="it-IT"/>
        </w:rPr>
        <w:softHyphen/>
        <w:t>ga</w:t>
      </w:r>
      <w:r>
        <w:rPr>
          <w:rFonts w:ascii="Verdana" w:eastAsia="Times New Roman" w:hAnsi="Verdana" w:cs="Arial"/>
          <w:color w:val="000000"/>
          <w:sz w:val="20"/>
          <w:szCs w:val="20"/>
          <w:lang w:eastAsia="it-IT"/>
        </w:rPr>
        <w:softHyphen/>
        <w:t>ta sol</w:t>
      </w:r>
      <w:r>
        <w:rPr>
          <w:rFonts w:ascii="Verdana" w:eastAsia="Times New Roman" w:hAnsi="Verdana" w:cs="Arial"/>
          <w:color w:val="000000"/>
          <w:sz w:val="20"/>
          <w:szCs w:val="20"/>
          <w:lang w:eastAsia="it-IT"/>
        </w:rPr>
        <w:softHyphen/>
        <w:t>tan</w:t>
      </w:r>
      <w:r>
        <w:rPr>
          <w:rFonts w:ascii="Verdana" w:eastAsia="Times New Roman" w:hAnsi="Verdana" w:cs="Arial"/>
          <w:color w:val="000000"/>
          <w:sz w:val="20"/>
          <w:szCs w:val="20"/>
          <w:lang w:eastAsia="it-IT"/>
        </w:rPr>
        <w:softHyphen/>
        <w:t>to a com</w:t>
      </w:r>
      <w:r>
        <w:rPr>
          <w:rFonts w:ascii="Verdana" w:eastAsia="Times New Roman" w:hAnsi="Verdana" w:cs="Arial"/>
          <w:color w:val="000000"/>
          <w:sz w:val="20"/>
          <w:szCs w:val="20"/>
          <w:lang w:eastAsia="it-IT"/>
        </w:rPr>
        <w:softHyphen/>
        <w:t>pi</w:t>
      </w:r>
      <w:r>
        <w:rPr>
          <w:rFonts w:ascii="Verdana" w:eastAsia="Times New Roman" w:hAnsi="Verdana" w:cs="Arial"/>
          <w:color w:val="000000"/>
          <w:sz w:val="20"/>
          <w:szCs w:val="20"/>
          <w:lang w:eastAsia="it-IT"/>
        </w:rPr>
        <w:softHyphen/>
        <w:t>ti direttamente ri</w:t>
      </w:r>
      <w:r>
        <w:rPr>
          <w:rFonts w:ascii="Verdana" w:eastAsia="Times New Roman" w:hAnsi="Verdana" w:cs="Arial"/>
          <w:color w:val="000000"/>
          <w:sz w:val="20"/>
          <w:szCs w:val="20"/>
          <w:lang w:eastAsia="it-IT"/>
        </w:rPr>
        <w:softHyphen/>
        <w:t>con</w:t>
      </w:r>
      <w:r>
        <w:rPr>
          <w:rFonts w:ascii="Verdana" w:eastAsia="Times New Roman" w:hAnsi="Verdana" w:cs="Arial"/>
          <w:color w:val="000000"/>
          <w:sz w:val="20"/>
          <w:szCs w:val="20"/>
          <w:lang w:eastAsia="it-IT"/>
        </w:rPr>
        <w:softHyphen/>
        <w:t>du</w:t>
      </w:r>
      <w:r>
        <w:rPr>
          <w:rFonts w:ascii="Verdana" w:eastAsia="Times New Roman" w:hAnsi="Verdana" w:cs="Arial"/>
          <w:color w:val="000000"/>
          <w:sz w:val="20"/>
          <w:szCs w:val="20"/>
          <w:lang w:eastAsia="it-IT"/>
        </w:rPr>
        <w:softHyphen/>
        <w:t>ci</w:t>
      </w:r>
      <w:r>
        <w:rPr>
          <w:rFonts w:ascii="Verdana" w:eastAsia="Times New Roman" w:hAnsi="Verdana" w:cs="Arial"/>
          <w:color w:val="000000"/>
          <w:sz w:val="20"/>
          <w:szCs w:val="20"/>
          <w:lang w:eastAsia="it-IT"/>
        </w:rPr>
        <w:softHyphen/>
        <w:t>bi</w:t>
      </w:r>
      <w:r>
        <w:rPr>
          <w:rFonts w:ascii="Verdana" w:eastAsia="Times New Roman" w:hAnsi="Verdana" w:cs="Arial"/>
          <w:color w:val="000000"/>
          <w:sz w:val="20"/>
          <w:szCs w:val="20"/>
          <w:lang w:eastAsia="it-IT"/>
        </w:rPr>
        <w:softHyphen/>
        <w:t>li alla qua</w:t>
      </w:r>
      <w:r>
        <w:rPr>
          <w:rFonts w:ascii="Verdana" w:eastAsia="Times New Roman" w:hAnsi="Verdana" w:cs="Arial"/>
          <w:color w:val="000000"/>
          <w:sz w:val="20"/>
          <w:szCs w:val="20"/>
          <w:lang w:eastAsia="it-IT"/>
        </w:rPr>
        <w:softHyphen/>
        <w:t>li</w:t>
      </w:r>
      <w:r>
        <w:rPr>
          <w:rFonts w:ascii="Verdana" w:eastAsia="Times New Roman" w:hAnsi="Verdana" w:cs="Arial"/>
          <w:color w:val="000000"/>
          <w:sz w:val="20"/>
          <w:szCs w:val="20"/>
          <w:lang w:eastAsia="it-IT"/>
        </w:rPr>
        <w:softHyphen/>
        <w:t>fi</w:t>
      </w:r>
      <w:r>
        <w:rPr>
          <w:rFonts w:ascii="Verdana" w:eastAsia="Times New Roman" w:hAnsi="Verdana" w:cs="Arial"/>
          <w:color w:val="000000"/>
          <w:sz w:val="20"/>
          <w:szCs w:val="20"/>
          <w:lang w:eastAsia="it-IT"/>
        </w:rPr>
        <w:softHyphen/>
        <w:t>ca ed al</w:t>
      </w:r>
      <w:r>
        <w:rPr>
          <w:rFonts w:ascii="Verdana" w:eastAsia="Times New Roman" w:hAnsi="Verdana" w:cs="Arial"/>
          <w:color w:val="000000"/>
          <w:sz w:val="20"/>
          <w:szCs w:val="20"/>
          <w:lang w:eastAsia="it-IT"/>
        </w:rPr>
        <w:softHyphen/>
        <w:t>l’uf</w:t>
      </w:r>
      <w:r>
        <w:rPr>
          <w:rFonts w:ascii="Verdana" w:eastAsia="Times New Roman" w:hAnsi="Verdana" w:cs="Arial"/>
          <w:color w:val="000000"/>
          <w:sz w:val="20"/>
          <w:szCs w:val="20"/>
          <w:lang w:eastAsia="it-IT"/>
        </w:rPr>
        <w:softHyphen/>
        <w:t>fi</w:t>
      </w:r>
      <w:r>
        <w:rPr>
          <w:rFonts w:ascii="Verdana" w:eastAsia="Times New Roman" w:hAnsi="Verdana" w:cs="Arial"/>
          <w:color w:val="000000"/>
          <w:sz w:val="20"/>
          <w:szCs w:val="20"/>
          <w:lang w:eastAsia="it-IT"/>
        </w:rPr>
        <w:softHyphen/>
        <w:t>cio ri</w:t>
      </w:r>
      <w:r>
        <w:rPr>
          <w:rFonts w:ascii="Verdana" w:eastAsia="Times New Roman" w:hAnsi="Verdana" w:cs="Arial"/>
          <w:color w:val="000000"/>
          <w:sz w:val="20"/>
          <w:szCs w:val="20"/>
          <w:lang w:eastAsia="it-IT"/>
        </w:rPr>
        <w:softHyphen/>
        <w:t>co</w:t>
      </w:r>
      <w:r>
        <w:rPr>
          <w:rFonts w:ascii="Verdana" w:eastAsia="Times New Roman" w:hAnsi="Verdana" w:cs="Arial"/>
          <w:color w:val="000000"/>
          <w:sz w:val="20"/>
          <w:szCs w:val="20"/>
          <w:lang w:eastAsia="it-IT"/>
        </w:rPr>
        <w:softHyphen/>
        <w:t>per</w:t>
      </w:r>
      <w:r>
        <w:rPr>
          <w:rFonts w:ascii="Verdana" w:eastAsia="Times New Roman" w:hAnsi="Verdana" w:cs="Arial"/>
          <w:color w:val="000000"/>
          <w:sz w:val="20"/>
          <w:szCs w:val="20"/>
          <w:lang w:eastAsia="it-IT"/>
        </w:rPr>
        <w:softHyphen/>
        <w:t>to, bensì anche a quel</w:t>
      </w:r>
      <w:r>
        <w:rPr>
          <w:rFonts w:ascii="Verdana" w:eastAsia="Times New Roman" w:hAnsi="Verdana" w:cs="Arial"/>
          <w:color w:val="000000"/>
          <w:sz w:val="20"/>
          <w:szCs w:val="20"/>
          <w:lang w:eastAsia="it-IT"/>
        </w:rPr>
        <w:softHyphen/>
        <w:t>li co</w:t>
      </w:r>
      <w:r>
        <w:rPr>
          <w:rFonts w:ascii="Verdana" w:eastAsia="Times New Roman" w:hAnsi="Verdana" w:cs="Arial"/>
          <w:color w:val="000000"/>
          <w:sz w:val="20"/>
          <w:szCs w:val="20"/>
          <w:lang w:eastAsia="it-IT"/>
        </w:rPr>
        <w:softHyphen/>
        <w:t>mun</w:t>
      </w:r>
      <w:r>
        <w:rPr>
          <w:rFonts w:ascii="Verdana" w:eastAsia="Times New Roman" w:hAnsi="Verdana" w:cs="Arial"/>
          <w:color w:val="000000"/>
          <w:sz w:val="20"/>
          <w:szCs w:val="20"/>
          <w:lang w:eastAsia="it-IT"/>
        </w:rPr>
        <w:softHyphen/>
        <w:t>que con</w:t>
      </w:r>
      <w:r>
        <w:rPr>
          <w:rFonts w:ascii="Verdana" w:eastAsia="Times New Roman" w:hAnsi="Verdana" w:cs="Arial"/>
          <w:color w:val="000000"/>
          <w:sz w:val="20"/>
          <w:szCs w:val="20"/>
          <w:lang w:eastAsia="it-IT"/>
        </w:rPr>
        <w:softHyphen/>
        <w:t>nes</w:t>
      </w:r>
      <w:r>
        <w:rPr>
          <w:rFonts w:ascii="Verdana" w:eastAsia="Times New Roman" w:hAnsi="Verdana" w:cs="Arial"/>
          <w:color w:val="000000"/>
          <w:sz w:val="20"/>
          <w:szCs w:val="20"/>
          <w:lang w:eastAsia="it-IT"/>
        </w:rPr>
        <w:softHyphen/>
        <w:t>si ai fini isti</w:t>
      </w:r>
      <w:r>
        <w:rPr>
          <w:rFonts w:ascii="Verdana" w:eastAsia="Times New Roman" w:hAnsi="Verdana" w:cs="Arial"/>
          <w:color w:val="000000"/>
          <w:sz w:val="20"/>
          <w:szCs w:val="20"/>
          <w:lang w:eastAsia="it-IT"/>
        </w:rPr>
        <w:softHyphen/>
        <w:t>tu</w:t>
      </w:r>
      <w:r>
        <w:rPr>
          <w:rFonts w:ascii="Verdana" w:eastAsia="Times New Roman" w:hAnsi="Verdana" w:cs="Arial"/>
          <w:color w:val="000000"/>
          <w:sz w:val="20"/>
          <w:szCs w:val="20"/>
          <w:lang w:eastAsia="it-IT"/>
        </w:rPr>
        <w:softHyphen/>
        <w:t>zio</w:t>
      </w:r>
      <w:r>
        <w:rPr>
          <w:rFonts w:ascii="Verdana" w:eastAsia="Times New Roman" w:hAnsi="Verdana" w:cs="Arial"/>
          <w:color w:val="000000"/>
          <w:sz w:val="20"/>
          <w:szCs w:val="20"/>
          <w:lang w:eastAsia="it-IT"/>
        </w:rPr>
        <w:softHyphen/>
        <w:t>na</w:t>
      </w:r>
      <w:r>
        <w:rPr>
          <w:rFonts w:ascii="Verdana" w:eastAsia="Times New Roman" w:hAnsi="Verdana" w:cs="Arial"/>
          <w:color w:val="000000"/>
          <w:sz w:val="20"/>
          <w:szCs w:val="20"/>
          <w:lang w:eastAsia="it-IT"/>
        </w:rPr>
        <w:softHyphen/>
        <w:t>li, uni</w:t>
      </w:r>
      <w:r>
        <w:rPr>
          <w:rFonts w:ascii="Verdana" w:eastAsia="Times New Roman" w:hAnsi="Verdana" w:cs="Arial"/>
          <w:color w:val="000000"/>
          <w:sz w:val="20"/>
          <w:szCs w:val="20"/>
          <w:lang w:eastAsia="it-IT"/>
        </w:rPr>
        <w:softHyphen/>
        <w:t>ta</w:t>
      </w:r>
      <w:r>
        <w:rPr>
          <w:rFonts w:ascii="Verdana" w:eastAsia="Times New Roman" w:hAnsi="Verdana" w:cs="Arial"/>
          <w:color w:val="000000"/>
          <w:sz w:val="20"/>
          <w:szCs w:val="20"/>
          <w:lang w:eastAsia="it-IT"/>
        </w:rPr>
        <w:softHyphen/>
        <w:t>ria</w:t>
      </w:r>
      <w:r>
        <w:rPr>
          <w:rFonts w:ascii="Verdana" w:eastAsia="Times New Roman" w:hAnsi="Verdana" w:cs="Arial"/>
          <w:color w:val="000000"/>
          <w:sz w:val="20"/>
          <w:szCs w:val="20"/>
          <w:lang w:eastAsia="it-IT"/>
        </w:rPr>
        <w:softHyphen/>
        <w:t>men</w:t>
      </w:r>
      <w:r>
        <w:rPr>
          <w:rFonts w:ascii="Verdana" w:eastAsia="Times New Roman" w:hAnsi="Verdana" w:cs="Arial"/>
          <w:color w:val="000000"/>
          <w:sz w:val="20"/>
          <w:szCs w:val="20"/>
          <w:lang w:eastAsia="it-IT"/>
        </w:rPr>
        <w:softHyphen/>
        <w:t>te con</w:t>
      </w:r>
      <w:r>
        <w:rPr>
          <w:rFonts w:ascii="Verdana" w:eastAsia="Times New Roman" w:hAnsi="Verdana" w:cs="Arial"/>
          <w:color w:val="000000"/>
          <w:sz w:val="20"/>
          <w:szCs w:val="20"/>
          <w:lang w:eastAsia="it-IT"/>
        </w:rPr>
        <w:softHyphen/>
        <w:t>si</w:t>
      </w:r>
      <w:r>
        <w:rPr>
          <w:rFonts w:ascii="Verdana" w:eastAsia="Times New Roman" w:hAnsi="Verdana" w:cs="Arial"/>
          <w:color w:val="000000"/>
          <w:sz w:val="20"/>
          <w:szCs w:val="20"/>
          <w:lang w:eastAsia="it-IT"/>
        </w:rPr>
        <w:softHyphen/>
        <w:t>de</w:t>
      </w:r>
      <w:r>
        <w:rPr>
          <w:rFonts w:ascii="Verdana" w:eastAsia="Times New Roman" w:hAnsi="Verdana" w:cs="Arial"/>
          <w:color w:val="000000"/>
          <w:sz w:val="20"/>
          <w:szCs w:val="20"/>
          <w:lang w:eastAsia="it-IT"/>
        </w:rPr>
        <w:softHyphen/>
        <w:t>ra</w:t>
      </w:r>
      <w:r>
        <w:rPr>
          <w:rFonts w:ascii="Verdana" w:eastAsia="Times New Roman" w:hAnsi="Verdana" w:cs="Arial"/>
          <w:color w:val="000000"/>
          <w:sz w:val="20"/>
          <w:szCs w:val="20"/>
          <w:lang w:eastAsia="it-IT"/>
        </w:rPr>
        <w:softHyphen/>
        <w:t>ti, del</w:t>
      </w:r>
      <w:r>
        <w:rPr>
          <w:rFonts w:ascii="Verdana" w:eastAsia="Times New Roman" w:hAnsi="Verdana" w:cs="Arial"/>
          <w:color w:val="000000"/>
          <w:sz w:val="20"/>
          <w:szCs w:val="20"/>
          <w:lang w:eastAsia="it-IT"/>
        </w:rPr>
        <w:softHyphen/>
        <w:t>l’am</w:t>
      </w:r>
      <w:r>
        <w:rPr>
          <w:rFonts w:ascii="Verdana" w:eastAsia="Times New Roman" w:hAnsi="Verdana" w:cs="Arial"/>
          <w:color w:val="000000"/>
          <w:sz w:val="20"/>
          <w:szCs w:val="20"/>
          <w:lang w:eastAsia="it-IT"/>
        </w:rPr>
        <w:softHyphen/>
        <w:t>mi</w:t>
      </w:r>
      <w:r>
        <w:rPr>
          <w:rFonts w:ascii="Verdana" w:eastAsia="Times New Roman" w:hAnsi="Verdana" w:cs="Arial"/>
          <w:color w:val="000000"/>
          <w:sz w:val="20"/>
          <w:szCs w:val="20"/>
          <w:lang w:eastAsia="it-IT"/>
        </w:rPr>
        <w:softHyphen/>
        <w:t>ni</w:t>
      </w:r>
      <w:r>
        <w:rPr>
          <w:rFonts w:ascii="Verdana" w:eastAsia="Times New Roman" w:hAnsi="Verdana" w:cs="Arial"/>
          <w:color w:val="000000"/>
          <w:sz w:val="20"/>
          <w:szCs w:val="20"/>
          <w:lang w:eastAsia="it-IT"/>
        </w:rPr>
        <w:softHyphen/>
        <w:t>stra</w:t>
      </w:r>
      <w:r>
        <w:rPr>
          <w:rFonts w:ascii="Verdana" w:eastAsia="Times New Roman" w:hAnsi="Verdana" w:cs="Arial"/>
          <w:color w:val="000000"/>
          <w:sz w:val="20"/>
          <w:szCs w:val="20"/>
          <w:lang w:eastAsia="it-IT"/>
        </w:rPr>
        <w:softHyphen/>
        <w:t>zio</w:t>
      </w:r>
      <w:r>
        <w:rPr>
          <w:rFonts w:ascii="Verdana" w:eastAsia="Times New Roman" w:hAnsi="Verdana" w:cs="Arial"/>
          <w:color w:val="000000"/>
          <w:sz w:val="20"/>
          <w:szCs w:val="20"/>
          <w:lang w:eastAsia="it-IT"/>
        </w:rPr>
        <w:softHyphen/>
        <w:t>ne pub</w:t>
      </w:r>
      <w:r>
        <w:rPr>
          <w:rFonts w:ascii="Verdana" w:eastAsia="Times New Roman" w:hAnsi="Verdana" w:cs="Arial"/>
          <w:color w:val="000000"/>
          <w:sz w:val="20"/>
          <w:szCs w:val="20"/>
          <w:lang w:eastAsia="it-IT"/>
        </w:rPr>
        <w:softHyphen/>
        <w:t>bli</w:t>
      </w:r>
      <w:r>
        <w:rPr>
          <w:rFonts w:ascii="Verdana" w:eastAsia="Times New Roman" w:hAnsi="Verdana" w:cs="Arial"/>
          <w:color w:val="000000"/>
          <w:sz w:val="20"/>
          <w:szCs w:val="20"/>
          <w:lang w:eastAsia="it-IT"/>
        </w:rPr>
        <w:softHyphen/>
        <w:t>ca da cui l’im</w:t>
      </w:r>
      <w:r>
        <w:rPr>
          <w:rFonts w:ascii="Verdana" w:eastAsia="Times New Roman" w:hAnsi="Verdana" w:cs="Arial"/>
          <w:color w:val="000000"/>
          <w:sz w:val="20"/>
          <w:szCs w:val="20"/>
          <w:lang w:eastAsia="it-IT"/>
        </w:rPr>
        <w:softHyphen/>
        <w:t>pie</w:t>
      </w:r>
      <w:r>
        <w:rPr>
          <w:rFonts w:ascii="Verdana" w:eastAsia="Times New Roman" w:hAnsi="Verdana" w:cs="Arial"/>
          <w:color w:val="000000"/>
          <w:sz w:val="20"/>
          <w:szCs w:val="20"/>
          <w:lang w:eastAsia="it-IT"/>
        </w:rPr>
        <w:softHyphen/>
        <w:t>ga</w:t>
      </w:r>
      <w:r>
        <w:rPr>
          <w:rFonts w:ascii="Verdana" w:eastAsia="Times New Roman" w:hAnsi="Verdana" w:cs="Arial"/>
          <w:color w:val="000000"/>
          <w:sz w:val="20"/>
          <w:szCs w:val="20"/>
          <w:lang w:eastAsia="it-IT"/>
        </w:rPr>
        <w:softHyphen/>
        <w:t>to di</w:t>
      </w:r>
      <w:r>
        <w:rPr>
          <w:rFonts w:ascii="Verdana" w:eastAsia="Times New Roman" w:hAnsi="Verdana" w:cs="Arial"/>
          <w:color w:val="000000"/>
          <w:sz w:val="20"/>
          <w:szCs w:val="20"/>
          <w:lang w:eastAsia="it-IT"/>
        </w:rPr>
        <w:softHyphen/>
        <w:t>pen</w:t>
      </w:r>
      <w:r>
        <w:rPr>
          <w:rFonts w:ascii="Verdana" w:eastAsia="Times New Roman" w:hAnsi="Verdana" w:cs="Arial"/>
          <w:color w:val="000000"/>
          <w:sz w:val="20"/>
          <w:szCs w:val="20"/>
          <w:lang w:eastAsia="it-IT"/>
        </w:rPr>
        <w:softHyphen/>
        <w:t>de (</w:t>
      </w:r>
      <w:r>
        <w:rPr>
          <w:rFonts w:ascii="Verdana" w:eastAsia="Times New Roman" w:hAnsi="Verdana" w:cs="Arial"/>
          <w:i/>
          <w:color w:val="000000"/>
          <w:sz w:val="20"/>
          <w:szCs w:val="20"/>
          <w:lang w:eastAsia="it-IT"/>
        </w:rPr>
        <w:t>Sez. II cen</w:t>
      </w:r>
      <w:r>
        <w:rPr>
          <w:rFonts w:ascii="Verdana" w:eastAsia="Times New Roman" w:hAnsi="Verdana" w:cs="Arial"/>
          <w:i/>
          <w:color w:val="000000"/>
          <w:sz w:val="20"/>
          <w:szCs w:val="20"/>
          <w:lang w:eastAsia="it-IT"/>
        </w:rPr>
        <w:softHyphen/>
        <w:t>tra</w:t>
      </w:r>
      <w:r>
        <w:rPr>
          <w:rFonts w:ascii="Verdana" w:eastAsia="Times New Roman" w:hAnsi="Verdana" w:cs="Arial"/>
          <w:i/>
          <w:color w:val="000000"/>
          <w:sz w:val="20"/>
          <w:szCs w:val="20"/>
          <w:lang w:eastAsia="it-IT"/>
        </w:rPr>
        <w:softHyphen/>
        <w:t>le n.447/2008, Sez. Puglia n.1547/2013</w:t>
      </w:r>
      <w:r>
        <w:rPr>
          <w:rFonts w:ascii="Verdana" w:eastAsia="Times New Roman" w:hAnsi="Verdana" w:cs="Arial"/>
          <w:color w:val="000000"/>
          <w:sz w:val="20"/>
          <w:szCs w:val="20"/>
          <w:lang w:eastAsia="it-IT"/>
        </w:rPr>
        <w:t>). Al di</w:t>
      </w:r>
      <w:r>
        <w:rPr>
          <w:rFonts w:ascii="Verdana" w:eastAsia="Times New Roman" w:hAnsi="Verdana" w:cs="Arial"/>
          <w:color w:val="000000"/>
          <w:sz w:val="20"/>
          <w:szCs w:val="20"/>
          <w:lang w:eastAsia="it-IT"/>
        </w:rPr>
        <w:softHyphen/>
        <w:t>pen</w:t>
      </w:r>
      <w:r>
        <w:rPr>
          <w:rFonts w:ascii="Verdana" w:eastAsia="Times New Roman" w:hAnsi="Verdana" w:cs="Arial"/>
          <w:color w:val="000000"/>
          <w:sz w:val="20"/>
          <w:szCs w:val="20"/>
          <w:lang w:eastAsia="it-IT"/>
        </w:rPr>
        <w:softHyphen/>
        <w:t>den</w:t>
      </w:r>
      <w:r>
        <w:rPr>
          <w:rFonts w:ascii="Verdana" w:eastAsia="Times New Roman" w:hAnsi="Verdana" w:cs="Arial"/>
          <w:color w:val="000000"/>
          <w:sz w:val="20"/>
          <w:szCs w:val="20"/>
          <w:lang w:eastAsia="it-IT"/>
        </w:rPr>
        <w:softHyphen/>
        <w:t>te o dirigente pub</w:t>
      </w:r>
      <w:r>
        <w:rPr>
          <w:rFonts w:ascii="Verdana" w:eastAsia="Times New Roman" w:hAnsi="Verdana" w:cs="Arial"/>
          <w:color w:val="000000"/>
          <w:sz w:val="20"/>
          <w:szCs w:val="20"/>
          <w:lang w:eastAsia="it-IT"/>
        </w:rPr>
        <w:softHyphen/>
        <w:t>bli</w:t>
      </w:r>
      <w:r>
        <w:rPr>
          <w:rFonts w:ascii="Verdana" w:eastAsia="Times New Roman" w:hAnsi="Verdana" w:cs="Arial"/>
          <w:color w:val="000000"/>
          <w:sz w:val="20"/>
          <w:szCs w:val="20"/>
          <w:lang w:eastAsia="it-IT"/>
        </w:rPr>
        <w:softHyphen/>
        <w:t>co, in man</w:t>
      </w:r>
      <w:r>
        <w:rPr>
          <w:rFonts w:ascii="Verdana" w:eastAsia="Times New Roman" w:hAnsi="Verdana" w:cs="Arial"/>
          <w:color w:val="000000"/>
          <w:sz w:val="20"/>
          <w:szCs w:val="20"/>
          <w:lang w:eastAsia="it-IT"/>
        </w:rPr>
        <w:softHyphen/>
        <w:t>can</w:t>
      </w:r>
      <w:r>
        <w:rPr>
          <w:rFonts w:ascii="Verdana" w:eastAsia="Times New Roman" w:hAnsi="Verdana" w:cs="Arial"/>
          <w:color w:val="000000"/>
          <w:sz w:val="20"/>
          <w:szCs w:val="20"/>
          <w:lang w:eastAsia="it-IT"/>
        </w:rPr>
        <w:softHyphen/>
        <w:t>za di una norma le</w:t>
      </w:r>
      <w:r>
        <w:rPr>
          <w:rFonts w:ascii="Verdana" w:eastAsia="Times New Roman" w:hAnsi="Verdana" w:cs="Arial"/>
          <w:color w:val="000000"/>
          <w:sz w:val="20"/>
          <w:szCs w:val="20"/>
          <w:lang w:eastAsia="it-IT"/>
        </w:rPr>
        <w:softHyphen/>
        <w:t>git</w:t>
      </w:r>
      <w:r>
        <w:rPr>
          <w:rFonts w:ascii="Verdana" w:eastAsia="Times New Roman" w:hAnsi="Verdana" w:cs="Arial"/>
          <w:color w:val="000000"/>
          <w:sz w:val="20"/>
          <w:szCs w:val="20"/>
          <w:lang w:eastAsia="it-IT"/>
        </w:rPr>
        <w:softHyphen/>
        <w:t>ti</w:t>
      </w:r>
      <w:r>
        <w:rPr>
          <w:rFonts w:ascii="Verdana" w:eastAsia="Times New Roman" w:hAnsi="Verdana" w:cs="Arial"/>
          <w:color w:val="000000"/>
          <w:sz w:val="20"/>
          <w:szCs w:val="20"/>
          <w:lang w:eastAsia="it-IT"/>
        </w:rPr>
        <w:softHyphen/>
        <w:t>man</w:t>
      </w:r>
      <w:r>
        <w:rPr>
          <w:rFonts w:ascii="Verdana" w:eastAsia="Times New Roman" w:hAnsi="Verdana" w:cs="Arial"/>
          <w:color w:val="000000"/>
          <w:sz w:val="20"/>
          <w:szCs w:val="20"/>
          <w:lang w:eastAsia="it-IT"/>
        </w:rPr>
        <w:softHyphen/>
        <w:t>te e di svol</w:t>
      </w:r>
      <w:r>
        <w:rPr>
          <w:rFonts w:ascii="Verdana" w:eastAsia="Times New Roman" w:hAnsi="Verdana" w:cs="Arial"/>
          <w:color w:val="000000"/>
          <w:sz w:val="20"/>
          <w:szCs w:val="20"/>
          <w:lang w:eastAsia="it-IT"/>
        </w:rPr>
        <w:softHyphen/>
        <w:t>gi</w:t>
      </w:r>
      <w:r>
        <w:rPr>
          <w:rFonts w:ascii="Verdana" w:eastAsia="Times New Roman" w:hAnsi="Verdana" w:cs="Arial"/>
          <w:color w:val="000000"/>
          <w:sz w:val="20"/>
          <w:szCs w:val="20"/>
          <w:lang w:eastAsia="it-IT"/>
        </w:rPr>
        <w:softHyphen/>
        <w:t>men</w:t>
      </w:r>
      <w:r>
        <w:rPr>
          <w:rFonts w:ascii="Verdana" w:eastAsia="Times New Roman" w:hAnsi="Verdana" w:cs="Arial"/>
          <w:color w:val="000000"/>
          <w:sz w:val="20"/>
          <w:szCs w:val="20"/>
          <w:lang w:eastAsia="it-IT"/>
        </w:rPr>
        <w:softHyphen/>
        <w:t>to autorizzato di in</w:t>
      </w:r>
      <w:r>
        <w:rPr>
          <w:rFonts w:ascii="Verdana" w:eastAsia="Times New Roman" w:hAnsi="Verdana" w:cs="Arial"/>
          <w:color w:val="000000"/>
          <w:sz w:val="20"/>
          <w:szCs w:val="20"/>
          <w:lang w:eastAsia="it-IT"/>
        </w:rPr>
        <w:softHyphen/>
        <w:t>ca</w:t>
      </w:r>
      <w:r>
        <w:rPr>
          <w:rFonts w:ascii="Verdana" w:eastAsia="Times New Roman" w:hAnsi="Verdana" w:cs="Arial"/>
          <w:color w:val="000000"/>
          <w:sz w:val="20"/>
          <w:szCs w:val="20"/>
          <w:lang w:eastAsia="it-IT"/>
        </w:rPr>
        <w:softHyphen/>
        <w:t>ri</w:t>
      </w:r>
      <w:r>
        <w:rPr>
          <w:rFonts w:ascii="Verdana" w:eastAsia="Times New Roman" w:hAnsi="Verdana" w:cs="Arial"/>
          <w:color w:val="000000"/>
          <w:sz w:val="20"/>
          <w:szCs w:val="20"/>
          <w:lang w:eastAsia="it-IT"/>
        </w:rPr>
        <w:softHyphen/>
        <w:t>chi esu</w:t>
      </w:r>
      <w:r>
        <w:rPr>
          <w:rFonts w:ascii="Verdana" w:eastAsia="Times New Roman" w:hAnsi="Verdana" w:cs="Arial"/>
          <w:color w:val="000000"/>
          <w:sz w:val="20"/>
          <w:szCs w:val="20"/>
          <w:lang w:eastAsia="it-IT"/>
        </w:rPr>
        <w:softHyphen/>
        <w:t>lan</w:t>
      </w:r>
      <w:r>
        <w:rPr>
          <w:rFonts w:ascii="Verdana" w:eastAsia="Times New Roman" w:hAnsi="Verdana" w:cs="Arial"/>
          <w:color w:val="000000"/>
          <w:sz w:val="20"/>
          <w:szCs w:val="20"/>
          <w:lang w:eastAsia="it-IT"/>
        </w:rPr>
        <w:softHyphen/>
        <w:t>ti i do</w:t>
      </w:r>
      <w:r>
        <w:rPr>
          <w:rFonts w:ascii="Verdana" w:eastAsia="Times New Roman" w:hAnsi="Verdana" w:cs="Arial"/>
          <w:color w:val="000000"/>
          <w:sz w:val="20"/>
          <w:szCs w:val="20"/>
          <w:lang w:eastAsia="it-IT"/>
        </w:rPr>
        <w:softHyphen/>
        <w:t>ve</w:t>
      </w:r>
      <w:r>
        <w:rPr>
          <w:rFonts w:ascii="Verdana" w:eastAsia="Times New Roman" w:hAnsi="Verdana" w:cs="Arial"/>
          <w:color w:val="000000"/>
          <w:sz w:val="20"/>
          <w:szCs w:val="20"/>
          <w:lang w:eastAsia="it-IT"/>
        </w:rPr>
        <w:softHyphen/>
        <w:t>ri d’uf</w:t>
      </w:r>
      <w:r>
        <w:rPr>
          <w:rFonts w:ascii="Verdana" w:eastAsia="Times New Roman" w:hAnsi="Verdana" w:cs="Arial"/>
          <w:color w:val="000000"/>
          <w:sz w:val="20"/>
          <w:szCs w:val="20"/>
          <w:lang w:eastAsia="it-IT"/>
        </w:rPr>
        <w:softHyphen/>
        <w:t>fi</w:t>
      </w:r>
      <w:r>
        <w:rPr>
          <w:rFonts w:ascii="Verdana" w:eastAsia="Times New Roman" w:hAnsi="Verdana" w:cs="Arial"/>
          <w:color w:val="000000"/>
          <w:sz w:val="20"/>
          <w:szCs w:val="20"/>
          <w:lang w:eastAsia="it-IT"/>
        </w:rPr>
        <w:softHyphen/>
        <w:t>cio e co</w:t>
      </w:r>
      <w:r>
        <w:rPr>
          <w:rFonts w:ascii="Verdana" w:eastAsia="Times New Roman" w:hAnsi="Verdana" w:cs="Arial"/>
          <w:color w:val="000000"/>
          <w:sz w:val="20"/>
          <w:szCs w:val="20"/>
          <w:lang w:eastAsia="it-IT"/>
        </w:rPr>
        <w:softHyphen/>
        <w:t>mun</w:t>
      </w:r>
      <w:r>
        <w:rPr>
          <w:rFonts w:ascii="Verdana" w:eastAsia="Times New Roman" w:hAnsi="Verdana" w:cs="Arial"/>
          <w:color w:val="000000"/>
          <w:sz w:val="20"/>
          <w:szCs w:val="20"/>
          <w:lang w:eastAsia="it-IT"/>
        </w:rPr>
        <w:softHyphen/>
        <w:t>que da svol</w:t>
      </w:r>
      <w:r>
        <w:rPr>
          <w:rFonts w:ascii="Verdana" w:eastAsia="Times New Roman" w:hAnsi="Verdana" w:cs="Arial"/>
          <w:color w:val="000000"/>
          <w:sz w:val="20"/>
          <w:szCs w:val="20"/>
          <w:lang w:eastAsia="it-IT"/>
        </w:rPr>
        <w:softHyphen/>
        <w:t>ge</w:t>
      </w:r>
      <w:r>
        <w:rPr>
          <w:rFonts w:ascii="Verdana" w:eastAsia="Times New Roman" w:hAnsi="Verdana" w:cs="Arial"/>
          <w:color w:val="000000"/>
          <w:sz w:val="20"/>
          <w:szCs w:val="20"/>
          <w:lang w:eastAsia="it-IT"/>
        </w:rPr>
        <w:softHyphen/>
        <w:t>re al di fuori del</w:t>
      </w:r>
      <w:r>
        <w:rPr>
          <w:rFonts w:ascii="Verdana" w:eastAsia="Times New Roman" w:hAnsi="Verdana" w:cs="Arial"/>
          <w:color w:val="000000"/>
          <w:sz w:val="20"/>
          <w:szCs w:val="20"/>
          <w:lang w:eastAsia="it-IT"/>
        </w:rPr>
        <w:softHyphen/>
        <w:t>l’o</w:t>
      </w:r>
      <w:r>
        <w:rPr>
          <w:rFonts w:ascii="Verdana" w:eastAsia="Times New Roman" w:hAnsi="Verdana" w:cs="Arial"/>
          <w:color w:val="000000"/>
          <w:sz w:val="20"/>
          <w:szCs w:val="20"/>
          <w:lang w:eastAsia="it-IT"/>
        </w:rPr>
        <w:softHyphen/>
        <w:t>ra</w:t>
      </w:r>
      <w:r>
        <w:rPr>
          <w:rFonts w:ascii="Verdana" w:eastAsia="Times New Roman" w:hAnsi="Verdana" w:cs="Arial"/>
          <w:color w:val="000000"/>
          <w:sz w:val="20"/>
          <w:szCs w:val="20"/>
          <w:lang w:eastAsia="it-IT"/>
        </w:rPr>
        <w:softHyphen/>
        <w:t>rio di la</w:t>
      </w:r>
      <w:r>
        <w:rPr>
          <w:rFonts w:ascii="Verdana" w:eastAsia="Times New Roman" w:hAnsi="Verdana" w:cs="Arial"/>
          <w:color w:val="000000"/>
          <w:sz w:val="20"/>
          <w:szCs w:val="20"/>
          <w:lang w:eastAsia="it-IT"/>
        </w:rPr>
        <w:softHyphen/>
        <w:t>vo</w:t>
      </w:r>
      <w:r>
        <w:rPr>
          <w:rFonts w:ascii="Verdana" w:eastAsia="Times New Roman" w:hAnsi="Verdana" w:cs="Arial"/>
          <w:color w:val="000000"/>
          <w:sz w:val="20"/>
          <w:szCs w:val="20"/>
          <w:lang w:eastAsia="it-IT"/>
        </w:rPr>
        <w:softHyphen/>
        <w:t>ro, nulla è do</w:t>
      </w:r>
      <w:r>
        <w:rPr>
          <w:rFonts w:ascii="Verdana" w:eastAsia="Times New Roman" w:hAnsi="Verdana" w:cs="Arial"/>
          <w:color w:val="000000"/>
          <w:sz w:val="20"/>
          <w:szCs w:val="20"/>
          <w:lang w:eastAsia="it-IT"/>
        </w:rPr>
        <w:softHyphen/>
        <w:t>vu</w:t>
      </w:r>
      <w:r>
        <w:rPr>
          <w:rFonts w:ascii="Verdana" w:eastAsia="Times New Roman" w:hAnsi="Verdana" w:cs="Arial"/>
          <w:color w:val="000000"/>
          <w:sz w:val="20"/>
          <w:szCs w:val="20"/>
          <w:lang w:eastAsia="it-IT"/>
        </w:rPr>
        <w:softHyphen/>
        <w:t>to al di fuori di quan</w:t>
      </w:r>
      <w:r>
        <w:rPr>
          <w:rFonts w:ascii="Verdana" w:eastAsia="Times New Roman" w:hAnsi="Verdana" w:cs="Arial"/>
          <w:color w:val="000000"/>
          <w:sz w:val="20"/>
          <w:szCs w:val="20"/>
          <w:lang w:eastAsia="it-IT"/>
        </w:rPr>
        <w:softHyphen/>
        <w:t>to og</w:t>
      </w:r>
      <w:r>
        <w:rPr>
          <w:rFonts w:ascii="Verdana" w:eastAsia="Times New Roman" w:hAnsi="Verdana" w:cs="Arial"/>
          <w:color w:val="000000"/>
          <w:sz w:val="20"/>
          <w:szCs w:val="20"/>
          <w:lang w:eastAsia="it-IT"/>
        </w:rPr>
        <w:softHyphen/>
        <w:t>get</w:t>
      </w:r>
      <w:r>
        <w:rPr>
          <w:rFonts w:ascii="Verdana" w:eastAsia="Times New Roman" w:hAnsi="Verdana" w:cs="Arial"/>
          <w:color w:val="000000"/>
          <w:sz w:val="20"/>
          <w:szCs w:val="20"/>
          <w:lang w:eastAsia="it-IT"/>
        </w:rPr>
        <w:softHyphen/>
        <w:t>to di con</w:t>
      </w:r>
      <w:r>
        <w:rPr>
          <w:rFonts w:ascii="Verdana" w:eastAsia="Times New Roman" w:hAnsi="Verdana" w:cs="Arial"/>
          <w:color w:val="000000"/>
          <w:sz w:val="20"/>
          <w:szCs w:val="20"/>
          <w:lang w:eastAsia="it-IT"/>
        </w:rPr>
        <w:softHyphen/>
        <w:t>trat</w:t>
      </w:r>
      <w:r>
        <w:rPr>
          <w:rFonts w:ascii="Verdana" w:eastAsia="Times New Roman" w:hAnsi="Verdana" w:cs="Arial"/>
          <w:color w:val="000000"/>
          <w:sz w:val="20"/>
          <w:szCs w:val="20"/>
          <w:lang w:eastAsia="it-IT"/>
        </w:rPr>
        <w:softHyphen/>
        <w:t>to (</w:t>
      </w:r>
      <w:r>
        <w:rPr>
          <w:rFonts w:ascii="Verdana" w:eastAsia="Times New Roman" w:hAnsi="Verdana" w:cs="Arial"/>
          <w:i/>
          <w:color w:val="000000"/>
          <w:sz w:val="20"/>
          <w:szCs w:val="20"/>
          <w:lang w:eastAsia="it-IT"/>
        </w:rPr>
        <w:t>Sez. II giur. cen</w:t>
      </w:r>
      <w:r>
        <w:rPr>
          <w:rFonts w:ascii="Verdana" w:eastAsia="Times New Roman" w:hAnsi="Verdana" w:cs="Arial"/>
          <w:i/>
          <w:color w:val="000000"/>
          <w:sz w:val="20"/>
          <w:szCs w:val="20"/>
          <w:lang w:eastAsia="it-IT"/>
        </w:rPr>
        <w:softHyphen/>
        <w:t>tra</w:t>
      </w:r>
      <w:r>
        <w:rPr>
          <w:rFonts w:ascii="Verdana" w:eastAsia="Times New Roman" w:hAnsi="Verdana" w:cs="Arial"/>
          <w:i/>
          <w:color w:val="000000"/>
          <w:sz w:val="20"/>
          <w:szCs w:val="20"/>
          <w:lang w:eastAsia="it-IT"/>
        </w:rPr>
        <w:softHyphen/>
        <w:t>le n.227/2013, Sez. giur. Puglia n.1547/2013</w:t>
      </w:r>
      <w:r>
        <w:rPr>
          <w:rFonts w:ascii="Verdana" w:eastAsia="Times New Roman" w:hAnsi="Verdana" w:cs="Arial"/>
          <w:color w:val="000000"/>
          <w:sz w:val="20"/>
          <w:szCs w:val="20"/>
          <w:lang w:eastAsia="it-IT"/>
        </w:rPr>
        <w:t xml:space="preserve">). Si evidenzia, altresì, che il principio della </w:t>
      </w:r>
      <w:proofErr w:type="spellStart"/>
      <w:r>
        <w:rPr>
          <w:rFonts w:ascii="Verdana" w:eastAsia="Times New Roman" w:hAnsi="Verdana" w:cs="Arial"/>
          <w:color w:val="000000"/>
          <w:sz w:val="20"/>
          <w:szCs w:val="20"/>
          <w:lang w:eastAsia="it-IT"/>
        </w:rPr>
        <w:t>omnicomprensività</w:t>
      </w:r>
      <w:proofErr w:type="spellEnd"/>
      <w:r>
        <w:rPr>
          <w:rFonts w:ascii="Verdana" w:eastAsia="Times New Roman" w:hAnsi="Verdana" w:cs="Arial"/>
          <w:color w:val="000000"/>
          <w:sz w:val="20"/>
          <w:szCs w:val="20"/>
          <w:lang w:eastAsia="it-IT"/>
        </w:rPr>
        <w:t xml:space="preserve"> della retribuzione non può essere derogato neanche nelle ipotesi in cui i compensi al personale interessato sono finanziati da fonti esterne o se l’attività viene svolta oltre l’ordinario orario di lavoro (</w:t>
      </w:r>
      <w:r>
        <w:rPr>
          <w:rFonts w:ascii="Verdana" w:eastAsia="Times New Roman" w:hAnsi="Verdana" w:cs="Arial"/>
          <w:i/>
          <w:color w:val="000000"/>
          <w:sz w:val="20"/>
          <w:szCs w:val="20"/>
          <w:lang w:eastAsia="it-IT"/>
        </w:rPr>
        <w:t>Sez. giur Puglia, n.615/2010</w:t>
      </w:r>
      <w:r>
        <w:rPr>
          <w:rFonts w:ascii="Verdana" w:eastAsia="Times New Roman" w:hAnsi="Verdana" w:cs="Arial"/>
          <w:color w:val="000000"/>
          <w:sz w:val="20"/>
          <w:szCs w:val="20"/>
          <w:lang w:eastAsia="it-IT"/>
        </w:rPr>
        <w:t xml:space="preserve">). </w:t>
      </w:r>
    </w:p>
    <w:p w:rsidR="006B5AAC" w:rsidRDefault="006B5AAC" w:rsidP="006B5AAC">
      <w:pPr>
        <w:autoSpaceDE w:val="0"/>
        <w:autoSpaceDN w:val="0"/>
        <w:adjustRightInd w:val="0"/>
        <w:spacing w:line="360" w:lineRule="auto"/>
        <w:ind w:right="-54" w:firstLine="567"/>
        <w:jc w:val="both"/>
        <w:rPr>
          <w:rFonts w:ascii="Verdana" w:hAnsi="Verdana"/>
          <w:sz w:val="20"/>
          <w:szCs w:val="20"/>
        </w:rPr>
      </w:pPr>
      <w:r>
        <w:rPr>
          <w:rFonts w:ascii="Verdana" w:eastAsia="Times New Roman" w:hAnsi="Verdana" w:cs="Arial"/>
          <w:color w:val="000000"/>
          <w:sz w:val="20"/>
          <w:szCs w:val="20"/>
          <w:lang w:eastAsia="it-IT"/>
        </w:rPr>
        <w:t xml:space="preserve">Sostanzialmente sulla stessa linea è stabilmente attestata anche la giurisprudenza amministrativa specie dopo la posizione in merito espressa, in sede consultiva, dal Consiglio di Stato (parere del 4 maggio 2005) secondo la quale il principio di </w:t>
      </w:r>
      <w:proofErr w:type="spellStart"/>
      <w:r>
        <w:rPr>
          <w:rFonts w:ascii="Verdana" w:eastAsia="Times New Roman" w:hAnsi="Verdana" w:cs="Arial"/>
          <w:color w:val="000000"/>
          <w:sz w:val="20"/>
          <w:szCs w:val="20"/>
          <w:lang w:eastAsia="it-IT"/>
        </w:rPr>
        <w:t>omnicomprensività</w:t>
      </w:r>
      <w:proofErr w:type="spellEnd"/>
      <w:r>
        <w:rPr>
          <w:rFonts w:ascii="Verdana" w:eastAsia="Times New Roman" w:hAnsi="Verdana" w:cs="Arial"/>
          <w:color w:val="000000"/>
          <w:sz w:val="20"/>
          <w:szCs w:val="20"/>
          <w:lang w:eastAsia="it-IT"/>
        </w:rPr>
        <w:t xml:space="preserve"> deve essere applicato per gli incarichi conferiti “</w:t>
      </w:r>
      <w:r>
        <w:rPr>
          <w:rFonts w:ascii="Verdana" w:eastAsia="Times New Roman" w:hAnsi="Verdana" w:cs="Arial"/>
          <w:i/>
          <w:color w:val="000000"/>
          <w:sz w:val="20"/>
          <w:szCs w:val="20"/>
          <w:lang w:eastAsia="it-IT"/>
        </w:rPr>
        <w:t>in ragione dell’ufficio</w:t>
      </w:r>
      <w:r>
        <w:rPr>
          <w:rFonts w:ascii="Verdana" w:eastAsia="Times New Roman" w:hAnsi="Verdana" w:cs="Arial"/>
          <w:color w:val="000000"/>
          <w:sz w:val="20"/>
          <w:szCs w:val="20"/>
          <w:lang w:eastAsia="it-IT"/>
        </w:rPr>
        <w:t>” (vale a dire incarichi strettamente connessi alla funzione pubblica svolta), “</w:t>
      </w:r>
      <w:r>
        <w:rPr>
          <w:rFonts w:ascii="Verdana" w:eastAsia="Times New Roman" w:hAnsi="Verdana" w:cs="Arial"/>
          <w:i/>
          <w:color w:val="000000"/>
          <w:sz w:val="20"/>
          <w:szCs w:val="20"/>
          <w:lang w:eastAsia="it-IT"/>
        </w:rPr>
        <w:t>su designazione della amministrazione di appartenenza</w:t>
      </w:r>
      <w:r>
        <w:rPr>
          <w:rFonts w:ascii="Verdana" w:eastAsia="Times New Roman" w:hAnsi="Verdana" w:cs="Arial"/>
          <w:color w:val="000000"/>
          <w:sz w:val="20"/>
          <w:szCs w:val="20"/>
          <w:lang w:eastAsia="it-IT"/>
        </w:rPr>
        <w:t>” (anche se la designazione presuppone una valutazione discrezionale in ordine alle qualità professionali del dipendente o dirigente designato) e “</w:t>
      </w:r>
      <w:r>
        <w:rPr>
          <w:rFonts w:ascii="Verdana" w:eastAsia="Times New Roman" w:hAnsi="Verdana" w:cs="Arial"/>
          <w:i/>
          <w:color w:val="000000"/>
          <w:sz w:val="20"/>
          <w:szCs w:val="20"/>
          <w:lang w:eastAsia="it-IT"/>
        </w:rPr>
        <w:t>comunque conferiti</w:t>
      </w:r>
      <w:r>
        <w:rPr>
          <w:rFonts w:ascii="Verdana" w:eastAsia="Times New Roman" w:hAnsi="Verdana" w:cs="Arial"/>
          <w:color w:val="000000"/>
          <w:sz w:val="20"/>
          <w:szCs w:val="20"/>
          <w:lang w:eastAsia="it-IT"/>
        </w:rPr>
        <w:t>” dalla stessa.</w:t>
      </w:r>
    </w:p>
    <w:p w:rsidR="006B5AAC" w:rsidRDefault="006B5AAC" w:rsidP="006B5AAC">
      <w:pPr>
        <w:autoSpaceDE w:val="0"/>
        <w:autoSpaceDN w:val="0"/>
        <w:adjustRightInd w:val="0"/>
        <w:spacing w:line="360" w:lineRule="auto"/>
        <w:ind w:right="-54" w:firstLine="567"/>
        <w:jc w:val="both"/>
        <w:rPr>
          <w:rFonts w:ascii="Verdana" w:eastAsia="Times New Roman" w:hAnsi="Verdana" w:cs="Arial"/>
          <w:color w:val="000000"/>
          <w:sz w:val="20"/>
          <w:szCs w:val="20"/>
          <w:lang w:eastAsia="it-IT"/>
        </w:rPr>
      </w:pPr>
      <w:r>
        <w:rPr>
          <w:rFonts w:ascii="Verdana" w:eastAsia="Times New Roman" w:hAnsi="Verdana" w:cs="Arial"/>
          <w:color w:val="000000"/>
          <w:sz w:val="20"/>
          <w:szCs w:val="20"/>
          <w:lang w:eastAsia="it-IT"/>
        </w:rPr>
        <w:lastRenderedPageBreak/>
        <w:t>In materia di gestione del ciclo dei rifiuti, l’Unione di Comuni facenti parte di un ambito territoriale ottimale costituisce semplicemente una diversa articolazione organizzativa volta ad assicurare in modo migliore i medesimi servizi e funzioni prima svolti da ciascun Comune. Più precisamente, l’art.1 della L.R. n.24/2012 stabilisce che il servizio di raccolta e smaltimento dei rifiuti, precedentemente effettuato dai singoli Comuni, è organizzato ed erogato all’interno di Ambiti territoriali ottimali (c.d. ATO), coincidenti con il territorio di ciascuna provincia pugliese, “</w:t>
      </w:r>
      <w:r>
        <w:rPr>
          <w:rFonts w:ascii="Verdana" w:eastAsia="Times New Roman" w:hAnsi="Verdana" w:cs="Arial"/>
          <w:i/>
          <w:color w:val="000000"/>
          <w:sz w:val="20"/>
          <w:szCs w:val="20"/>
          <w:lang w:eastAsia="it-IT"/>
        </w:rPr>
        <w:t>al fine di consentire economie di scala e di differenziazione idonee a massimizzare l’efficienza del servizio</w:t>
      </w:r>
      <w:r>
        <w:rPr>
          <w:rFonts w:ascii="Verdana" w:eastAsia="Times New Roman" w:hAnsi="Verdana" w:cs="Arial"/>
          <w:color w:val="000000"/>
          <w:sz w:val="20"/>
          <w:szCs w:val="20"/>
          <w:lang w:eastAsia="it-IT"/>
        </w:rPr>
        <w:t>”. Tale diversa soluzione organizzativa ha, quindi, tra le sue finalità, oltre al miglioramento del servizio da rendere alla collettività, il contenimento e la razionalizzazione della spesa e non può, pertanto, invece, costituire occasione per la corresponsione al personale interessato di emolumenti aggiuntivi rispetto al trattamento economico ordinario. Indicativo in tal senso è anche l’art.10, co.3, della suddetta legge regionale secondo il quale le attività indicate non devono produrre aggravi diretti o indiretti della tariffa. L’art.6, co.6, della L.R. n.24/2012 precisa, inoltre, che, per l’esercizio delle proprie funzioni, l’ATO si avvale degli uffici e del personale degli enti locali partecipanti. In tale tipo di fattispecie, la corresponsione di emolumenti aggiuntivi, in deroga al principio della onnicomprensività del trattamento economico dei dipendenti pubblici, può trovare eventuale spazio nella unica ipotesi in cui sia prevista una espressa deroga normativa.</w:t>
      </w:r>
    </w:p>
    <w:p w:rsidR="006B5AAC" w:rsidRDefault="006B5AAC" w:rsidP="006B5AAC">
      <w:pPr>
        <w:autoSpaceDE w:val="0"/>
        <w:autoSpaceDN w:val="0"/>
        <w:adjustRightInd w:val="0"/>
        <w:spacing w:line="360" w:lineRule="auto"/>
        <w:ind w:right="-54" w:firstLine="567"/>
        <w:jc w:val="both"/>
        <w:rPr>
          <w:rFonts w:ascii="Verdana" w:hAnsi="Verdana"/>
          <w:sz w:val="20"/>
          <w:szCs w:val="20"/>
        </w:rPr>
      </w:pPr>
      <w:r>
        <w:rPr>
          <w:rFonts w:ascii="Verdana" w:eastAsia="Times New Roman" w:hAnsi="Verdana" w:cs="Arial"/>
          <w:color w:val="000000"/>
          <w:sz w:val="20"/>
          <w:szCs w:val="20"/>
          <w:lang w:eastAsia="it-IT"/>
        </w:rPr>
        <w:t>In conclusione, in relazione ad attività lavorative co</w:t>
      </w:r>
      <w:r>
        <w:rPr>
          <w:rFonts w:ascii="Verdana" w:eastAsia="Times New Roman" w:hAnsi="Verdana" w:cs="Arial"/>
          <w:color w:val="000000"/>
          <w:sz w:val="20"/>
          <w:szCs w:val="20"/>
          <w:lang w:eastAsia="it-IT"/>
        </w:rPr>
        <w:softHyphen/>
        <w:t>mun</w:t>
      </w:r>
      <w:r>
        <w:rPr>
          <w:rFonts w:ascii="Verdana" w:eastAsia="Times New Roman" w:hAnsi="Verdana" w:cs="Arial"/>
          <w:color w:val="000000"/>
          <w:sz w:val="20"/>
          <w:szCs w:val="20"/>
          <w:lang w:eastAsia="it-IT"/>
        </w:rPr>
        <w:softHyphen/>
        <w:t>que con</w:t>
      </w:r>
      <w:r>
        <w:rPr>
          <w:rFonts w:ascii="Verdana" w:eastAsia="Times New Roman" w:hAnsi="Verdana" w:cs="Arial"/>
          <w:color w:val="000000"/>
          <w:sz w:val="20"/>
          <w:szCs w:val="20"/>
          <w:lang w:eastAsia="it-IT"/>
        </w:rPr>
        <w:softHyphen/>
        <w:t>nes</w:t>
      </w:r>
      <w:r>
        <w:rPr>
          <w:rFonts w:ascii="Verdana" w:eastAsia="Times New Roman" w:hAnsi="Verdana" w:cs="Arial"/>
          <w:color w:val="000000"/>
          <w:sz w:val="20"/>
          <w:szCs w:val="20"/>
          <w:lang w:eastAsia="it-IT"/>
        </w:rPr>
        <w:softHyphen/>
        <w:t>se ai fini isti</w:t>
      </w:r>
      <w:r>
        <w:rPr>
          <w:rFonts w:ascii="Verdana" w:eastAsia="Times New Roman" w:hAnsi="Verdana" w:cs="Arial"/>
          <w:color w:val="000000"/>
          <w:sz w:val="20"/>
          <w:szCs w:val="20"/>
          <w:lang w:eastAsia="it-IT"/>
        </w:rPr>
        <w:softHyphen/>
        <w:t>tu</w:t>
      </w:r>
      <w:r>
        <w:rPr>
          <w:rFonts w:ascii="Verdana" w:eastAsia="Times New Roman" w:hAnsi="Verdana" w:cs="Arial"/>
          <w:color w:val="000000"/>
          <w:sz w:val="20"/>
          <w:szCs w:val="20"/>
          <w:lang w:eastAsia="it-IT"/>
        </w:rPr>
        <w:softHyphen/>
        <w:t>zio</w:t>
      </w:r>
      <w:r>
        <w:rPr>
          <w:rFonts w:ascii="Verdana" w:eastAsia="Times New Roman" w:hAnsi="Verdana" w:cs="Arial"/>
          <w:color w:val="000000"/>
          <w:sz w:val="20"/>
          <w:szCs w:val="20"/>
          <w:lang w:eastAsia="it-IT"/>
        </w:rPr>
        <w:softHyphen/>
        <w:t>na</w:t>
      </w:r>
      <w:r>
        <w:rPr>
          <w:rFonts w:ascii="Verdana" w:eastAsia="Times New Roman" w:hAnsi="Verdana" w:cs="Arial"/>
          <w:color w:val="000000"/>
          <w:sz w:val="20"/>
          <w:szCs w:val="20"/>
          <w:lang w:eastAsia="it-IT"/>
        </w:rPr>
        <w:softHyphen/>
        <w:t>li, uni</w:t>
      </w:r>
      <w:r>
        <w:rPr>
          <w:rFonts w:ascii="Verdana" w:eastAsia="Times New Roman" w:hAnsi="Verdana" w:cs="Arial"/>
          <w:color w:val="000000"/>
          <w:sz w:val="20"/>
          <w:szCs w:val="20"/>
          <w:lang w:eastAsia="it-IT"/>
        </w:rPr>
        <w:softHyphen/>
        <w:t>ta</w:t>
      </w:r>
      <w:r>
        <w:rPr>
          <w:rFonts w:ascii="Verdana" w:eastAsia="Times New Roman" w:hAnsi="Verdana" w:cs="Arial"/>
          <w:color w:val="000000"/>
          <w:sz w:val="20"/>
          <w:szCs w:val="20"/>
          <w:lang w:eastAsia="it-IT"/>
        </w:rPr>
        <w:softHyphen/>
        <w:t>ria</w:t>
      </w:r>
      <w:r>
        <w:rPr>
          <w:rFonts w:ascii="Verdana" w:eastAsia="Times New Roman" w:hAnsi="Verdana" w:cs="Arial"/>
          <w:color w:val="000000"/>
          <w:sz w:val="20"/>
          <w:szCs w:val="20"/>
          <w:lang w:eastAsia="it-IT"/>
        </w:rPr>
        <w:softHyphen/>
        <w:t>men</w:t>
      </w:r>
      <w:r>
        <w:rPr>
          <w:rFonts w:ascii="Verdana" w:eastAsia="Times New Roman" w:hAnsi="Verdana" w:cs="Arial"/>
          <w:color w:val="000000"/>
          <w:sz w:val="20"/>
          <w:szCs w:val="20"/>
          <w:lang w:eastAsia="it-IT"/>
        </w:rPr>
        <w:softHyphen/>
        <w:t>te con</w:t>
      </w:r>
      <w:r>
        <w:rPr>
          <w:rFonts w:ascii="Verdana" w:eastAsia="Times New Roman" w:hAnsi="Verdana" w:cs="Arial"/>
          <w:color w:val="000000"/>
          <w:sz w:val="20"/>
          <w:szCs w:val="20"/>
          <w:lang w:eastAsia="it-IT"/>
        </w:rPr>
        <w:softHyphen/>
        <w:t>si</w:t>
      </w:r>
      <w:r>
        <w:rPr>
          <w:rFonts w:ascii="Verdana" w:eastAsia="Times New Roman" w:hAnsi="Verdana" w:cs="Arial"/>
          <w:color w:val="000000"/>
          <w:sz w:val="20"/>
          <w:szCs w:val="20"/>
          <w:lang w:eastAsia="it-IT"/>
        </w:rPr>
        <w:softHyphen/>
        <w:t>de</w:t>
      </w:r>
      <w:r>
        <w:rPr>
          <w:rFonts w:ascii="Verdana" w:eastAsia="Times New Roman" w:hAnsi="Verdana" w:cs="Arial"/>
          <w:color w:val="000000"/>
          <w:sz w:val="20"/>
          <w:szCs w:val="20"/>
          <w:lang w:eastAsia="it-IT"/>
        </w:rPr>
        <w:softHyphen/>
        <w:t>ra</w:t>
      </w:r>
      <w:r>
        <w:rPr>
          <w:rFonts w:ascii="Verdana" w:eastAsia="Times New Roman" w:hAnsi="Verdana" w:cs="Arial"/>
          <w:color w:val="000000"/>
          <w:sz w:val="20"/>
          <w:szCs w:val="20"/>
          <w:lang w:eastAsia="it-IT"/>
        </w:rPr>
        <w:softHyphen/>
        <w:t>ti, del</w:t>
      </w:r>
      <w:r>
        <w:rPr>
          <w:rFonts w:ascii="Verdana" w:eastAsia="Times New Roman" w:hAnsi="Verdana" w:cs="Arial"/>
          <w:color w:val="000000"/>
          <w:sz w:val="20"/>
          <w:szCs w:val="20"/>
          <w:lang w:eastAsia="it-IT"/>
        </w:rPr>
        <w:softHyphen/>
        <w:t>l’am</w:t>
      </w:r>
      <w:r>
        <w:rPr>
          <w:rFonts w:ascii="Verdana" w:eastAsia="Times New Roman" w:hAnsi="Verdana" w:cs="Arial"/>
          <w:color w:val="000000"/>
          <w:sz w:val="20"/>
          <w:szCs w:val="20"/>
          <w:lang w:eastAsia="it-IT"/>
        </w:rPr>
        <w:softHyphen/>
        <w:t>mi</w:t>
      </w:r>
      <w:r>
        <w:rPr>
          <w:rFonts w:ascii="Verdana" w:eastAsia="Times New Roman" w:hAnsi="Verdana" w:cs="Arial"/>
          <w:color w:val="000000"/>
          <w:sz w:val="20"/>
          <w:szCs w:val="20"/>
          <w:lang w:eastAsia="it-IT"/>
        </w:rPr>
        <w:softHyphen/>
        <w:t>ni</w:t>
      </w:r>
      <w:r>
        <w:rPr>
          <w:rFonts w:ascii="Verdana" w:eastAsia="Times New Roman" w:hAnsi="Verdana" w:cs="Arial"/>
          <w:color w:val="000000"/>
          <w:sz w:val="20"/>
          <w:szCs w:val="20"/>
          <w:lang w:eastAsia="it-IT"/>
        </w:rPr>
        <w:softHyphen/>
        <w:t>stra</w:t>
      </w:r>
      <w:r>
        <w:rPr>
          <w:rFonts w:ascii="Verdana" w:eastAsia="Times New Roman" w:hAnsi="Verdana" w:cs="Arial"/>
          <w:color w:val="000000"/>
          <w:sz w:val="20"/>
          <w:szCs w:val="20"/>
          <w:lang w:eastAsia="it-IT"/>
        </w:rPr>
        <w:softHyphen/>
        <w:t>zio</w:t>
      </w:r>
      <w:r>
        <w:rPr>
          <w:rFonts w:ascii="Verdana" w:eastAsia="Times New Roman" w:hAnsi="Verdana" w:cs="Arial"/>
          <w:color w:val="000000"/>
          <w:sz w:val="20"/>
          <w:szCs w:val="20"/>
          <w:lang w:eastAsia="it-IT"/>
        </w:rPr>
        <w:softHyphen/>
        <w:t>ne pub</w:t>
      </w:r>
      <w:r>
        <w:rPr>
          <w:rFonts w:ascii="Verdana" w:eastAsia="Times New Roman" w:hAnsi="Verdana" w:cs="Arial"/>
          <w:color w:val="000000"/>
          <w:sz w:val="20"/>
          <w:szCs w:val="20"/>
          <w:lang w:eastAsia="it-IT"/>
        </w:rPr>
        <w:softHyphen/>
        <w:t>bli</w:t>
      </w:r>
      <w:r>
        <w:rPr>
          <w:rFonts w:ascii="Verdana" w:eastAsia="Times New Roman" w:hAnsi="Verdana" w:cs="Arial"/>
          <w:color w:val="000000"/>
          <w:sz w:val="20"/>
          <w:szCs w:val="20"/>
          <w:lang w:eastAsia="it-IT"/>
        </w:rPr>
        <w:softHyphen/>
        <w:t>ca da cui l’im</w:t>
      </w:r>
      <w:r>
        <w:rPr>
          <w:rFonts w:ascii="Verdana" w:eastAsia="Times New Roman" w:hAnsi="Verdana" w:cs="Arial"/>
          <w:color w:val="000000"/>
          <w:sz w:val="20"/>
          <w:szCs w:val="20"/>
          <w:lang w:eastAsia="it-IT"/>
        </w:rPr>
        <w:softHyphen/>
        <w:t>pie</w:t>
      </w:r>
      <w:r>
        <w:rPr>
          <w:rFonts w:ascii="Verdana" w:eastAsia="Times New Roman" w:hAnsi="Verdana" w:cs="Arial"/>
          <w:color w:val="000000"/>
          <w:sz w:val="20"/>
          <w:szCs w:val="20"/>
          <w:lang w:eastAsia="it-IT"/>
        </w:rPr>
        <w:softHyphen/>
        <w:t>ga</w:t>
      </w:r>
      <w:r>
        <w:rPr>
          <w:rFonts w:ascii="Verdana" w:eastAsia="Times New Roman" w:hAnsi="Verdana" w:cs="Arial"/>
          <w:color w:val="000000"/>
          <w:sz w:val="20"/>
          <w:szCs w:val="20"/>
          <w:lang w:eastAsia="it-IT"/>
        </w:rPr>
        <w:softHyphen/>
        <w:t>to di</w:t>
      </w:r>
      <w:r>
        <w:rPr>
          <w:rFonts w:ascii="Verdana" w:eastAsia="Times New Roman" w:hAnsi="Verdana" w:cs="Arial"/>
          <w:color w:val="000000"/>
          <w:sz w:val="20"/>
          <w:szCs w:val="20"/>
          <w:lang w:eastAsia="it-IT"/>
        </w:rPr>
        <w:softHyphen/>
        <w:t>pen</w:t>
      </w:r>
      <w:r>
        <w:rPr>
          <w:rFonts w:ascii="Verdana" w:eastAsia="Times New Roman" w:hAnsi="Verdana" w:cs="Arial"/>
          <w:color w:val="000000"/>
          <w:sz w:val="20"/>
          <w:szCs w:val="20"/>
          <w:lang w:eastAsia="it-IT"/>
        </w:rPr>
        <w:softHyphen/>
        <w:t xml:space="preserve">de, anche in presenza di attività svolte oltre o fuori dall’ordinario orario di lavoro, il trattamento economico fissato in via esclusiva dalla contrattazione collettiva nazionale, in assenza di una specifica ed espressa deroga normativa, non può essere incrementato. In presenza di una maggiore prestazione lavorativa è consentita la corresponsione di un trattamento accessorio, finanziato dall’apposito fondo previsto e disciplinato dalla contrattazione collettiva nazionale e decentrata, secondo le modalità stabilite dalla medesima contrattazione. </w:t>
      </w:r>
    </w:p>
    <w:p w:rsidR="006B5AAC" w:rsidRDefault="006B5AAC" w:rsidP="006B5AAC">
      <w:pPr>
        <w:autoSpaceDE w:val="0"/>
        <w:autoSpaceDN w:val="0"/>
        <w:adjustRightInd w:val="0"/>
        <w:spacing w:line="360" w:lineRule="auto"/>
        <w:ind w:right="-54" w:firstLine="567"/>
        <w:jc w:val="center"/>
        <w:rPr>
          <w:rFonts w:ascii="Verdana" w:hAnsi="Verdana" w:cs="Arial"/>
          <w:b/>
          <w:sz w:val="20"/>
          <w:szCs w:val="20"/>
        </w:rPr>
      </w:pPr>
      <w:r>
        <w:rPr>
          <w:rFonts w:ascii="Verdana" w:hAnsi="Verdana" w:cs="Arial"/>
          <w:b/>
          <w:sz w:val="20"/>
          <w:szCs w:val="20"/>
        </w:rPr>
        <w:t>P. Q. M.</w:t>
      </w:r>
    </w:p>
    <w:p w:rsidR="006B5AAC" w:rsidRDefault="006B5AAC" w:rsidP="006B5AAC">
      <w:pPr>
        <w:tabs>
          <w:tab w:val="left" w:pos="0"/>
        </w:tabs>
        <w:spacing w:line="360" w:lineRule="auto"/>
        <w:ind w:right="-1"/>
        <w:jc w:val="both"/>
        <w:rPr>
          <w:rFonts w:ascii="Verdana" w:hAnsi="Verdana" w:cs="Arial"/>
          <w:sz w:val="20"/>
          <w:szCs w:val="20"/>
        </w:rPr>
      </w:pPr>
      <w:r>
        <w:rPr>
          <w:rFonts w:ascii="Verdana" w:hAnsi="Verdana" w:cs="Arial"/>
          <w:sz w:val="20"/>
          <w:szCs w:val="20"/>
        </w:rPr>
        <w:t>Nelle sopra esposte considerazioni è il parere di questa sezione.</w:t>
      </w:r>
    </w:p>
    <w:p w:rsidR="006B5AAC" w:rsidRDefault="006B5AAC" w:rsidP="006B5AAC">
      <w:pPr>
        <w:tabs>
          <w:tab w:val="left" w:pos="0"/>
        </w:tabs>
        <w:spacing w:line="360" w:lineRule="auto"/>
        <w:ind w:right="-1"/>
        <w:jc w:val="both"/>
        <w:rPr>
          <w:rFonts w:ascii="Verdana" w:hAnsi="Verdana"/>
          <w:sz w:val="20"/>
          <w:szCs w:val="20"/>
        </w:rPr>
      </w:pPr>
      <w:r>
        <w:rPr>
          <w:rFonts w:ascii="Verdana" w:hAnsi="Verdana"/>
          <w:sz w:val="20"/>
        </w:rPr>
        <w:t xml:space="preserve">Dispone che la presente deliberazione venga trasmessa, </w:t>
      </w:r>
      <w:r>
        <w:rPr>
          <w:rFonts w:ascii="Verdana" w:hAnsi="Verdana"/>
          <w:sz w:val="20"/>
          <w:szCs w:val="20"/>
        </w:rPr>
        <w:t>a cura del preposto al Servizio di supporto,</w:t>
      </w:r>
      <w:r>
        <w:rPr>
          <w:rFonts w:ascii="Verdana" w:hAnsi="Verdana"/>
          <w:sz w:val="20"/>
        </w:rPr>
        <w:t xml:space="preserve"> al Sindaco del Comune di Lecce</w:t>
      </w:r>
      <w:r>
        <w:rPr>
          <w:rFonts w:ascii="Verdana" w:hAnsi="Verdana"/>
          <w:sz w:val="20"/>
          <w:szCs w:val="20"/>
        </w:rPr>
        <w:t>.</w:t>
      </w:r>
    </w:p>
    <w:p w:rsidR="006B5AAC" w:rsidRDefault="006B5AAC" w:rsidP="006B5AAC">
      <w:pPr>
        <w:tabs>
          <w:tab w:val="left" w:pos="0"/>
        </w:tabs>
        <w:spacing w:line="360" w:lineRule="auto"/>
        <w:ind w:right="-1"/>
        <w:jc w:val="both"/>
        <w:rPr>
          <w:rFonts w:ascii="Verdana" w:hAnsi="Verdana" w:cs="Arial"/>
          <w:sz w:val="20"/>
          <w:szCs w:val="20"/>
        </w:rPr>
      </w:pPr>
      <w:r>
        <w:rPr>
          <w:rFonts w:ascii="Verdana" w:hAnsi="Verdana" w:cs="Arial"/>
          <w:sz w:val="20"/>
          <w:szCs w:val="20"/>
        </w:rPr>
        <w:t>Così deliberato in Bari, nella Camera di Consiglio dell’11 febbraio 2016.</w:t>
      </w:r>
    </w:p>
    <w:p w:rsidR="006B5AAC" w:rsidRDefault="006B5AAC" w:rsidP="006B5AAC">
      <w:pPr>
        <w:ind w:right="-1"/>
        <w:jc w:val="both"/>
        <w:rPr>
          <w:rFonts w:ascii="Verdana" w:hAnsi="Verdana" w:cs="Arial"/>
          <w:sz w:val="20"/>
          <w:szCs w:val="20"/>
        </w:rPr>
      </w:pPr>
      <w:r>
        <w:rPr>
          <w:rFonts w:ascii="Verdana" w:hAnsi="Verdana" w:cs="Arial"/>
          <w:sz w:val="20"/>
          <w:szCs w:val="20"/>
        </w:rPr>
        <w:t xml:space="preserve">            Il Magistrato relatore </w:t>
      </w:r>
      <w:r>
        <w:rPr>
          <w:rFonts w:ascii="Verdana" w:hAnsi="Verdana" w:cs="Arial"/>
          <w:sz w:val="20"/>
          <w:szCs w:val="20"/>
        </w:rPr>
        <w:tab/>
        <w:t xml:space="preserve">   </w:t>
      </w:r>
      <w:r>
        <w:rPr>
          <w:rFonts w:ascii="Verdana" w:hAnsi="Verdana" w:cs="Arial"/>
          <w:sz w:val="20"/>
          <w:szCs w:val="20"/>
        </w:rPr>
        <w:tab/>
        <w:t xml:space="preserve">                                           Il Presidente </w:t>
      </w:r>
    </w:p>
    <w:p w:rsidR="006B5AAC" w:rsidRDefault="006B5AAC" w:rsidP="006B5AAC">
      <w:pPr>
        <w:spacing w:after="120"/>
        <w:ind w:right="-1"/>
        <w:jc w:val="both"/>
        <w:rPr>
          <w:rFonts w:ascii="Verdana" w:hAnsi="Verdana" w:cs="Arial"/>
          <w:sz w:val="20"/>
          <w:szCs w:val="20"/>
        </w:rPr>
      </w:pPr>
      <w:r>
        <w:rPr>
          <w:rFonts w:ascii="Verdana" w:hAnsi="Verdana" w:cs="Arial"/>
          <w:sz w:val="20"/>
          <w:szCs w:val="20"/>
        </w:rPr>
        <w:t xml:space="preserve">      Dott. Cosmo </w:t>
      </w:r>
      <w:proofErr w:type="spellStart"/>
      <w:r>
        <w:rPr>
          <w:rFonts w:ascii="Verdana" w:hAnsi="Verdana" w:cs="Arial"/>
          <w:sz w:val="20"/>
          <w:szCs w:val="20"/>
        </w:rPr>
        <w:t>Sciancalepore</w:t>
      </w:r>
      <w:proofErr w:type="spellEnd"/>
      <w:r>
        <w:rPr>
          <w:rFonts w:ascii="Verdana" w:hAnsi="Verdana" w:cs="Arial"/>
          <w:sz w:val="20"/>
          <w:szCs w:val="20"/>
        </w:rPr>
        <w:t xml:space="preserve">          </w:t>
      </w:r>
      <w:r>
        <w:rPr>
          <w:rFonts w:ascii="Verdana" w:hAnsi="Verdana" w:cs="Arial"/>
          <w:sz w:val="20"/>
          <w:szCs w:val="20"/>
        </w:rPr>
        <w:tab/>
      </w:r>
      <w:r>
        <w:rPr>
          <w:rFonts w:ascii="Verdana" w:hAnsi="Verdana" w:cs="Arial"/>
          <w:sz w:val="20"/>
          <w:szCs w:val="20"/>
        </w:rPr>
        <w:tab/>
        <w:t xml:space="preserve">                    Dott. Agostino </w:t>
      </w:r>
      <w:proofErr w:type="spellStart"/>
      <w:r>
        <w:rPr>
          <w:rFonts w:ascii="Verdana" w:hAnsi="Verdana" w:cs="Arial"/>
          <w:sz w:val="20"/>
          <w:szCs w:val="20"/>
        </w:rPr>
        <w:t>Chiappiniello</w:t>
      </w:r>
      <w:proofErr w:type="spellEnd"/>
    </w:p>
    <w:p w:rsidR="006B5AAC" w:rsidRDefault="006B5AAC" w:rsidP="006B5AAC">
      <w:pPr>
        <w:widowControl w:val="0"/>
        <w:tabs>
          <w:tab w:val="left" w:pos="0"/>
        </w:tabs>
        <w:suppressAutoHyphens w:val="0"/>
        <w:kinsoku w:val="0"/>
        <w:autoSpaceDN w:val="0"/>
        <w:snapToGrid w:val="0"/>
        <w:ind w:right="27"/>
        <w:jc w:val="center"/>
        <w:textAlignment w:val="baseline"/>
        <w:rPr>
          <w:rFonts w:ascii="Verdana" w:eastAsia="Times New Roman" w:hAnsi="Verdana" w:cs="Arial"/>
          <w:sz w:val="20"/>
          <w:szCs w:val="20"/>
          <w:lang w:eastAsia="it-IT"/>
        </w:rPr>
      </w:pPr>
      <w:r>
        <w:rPr>
          <w:rFonts w:ascii="Verdana" w:eastAsia="Times New Roman" w:hAnsi="Verdana" w:cs="Arial"/>
          <w:sz w:val="20"/>
          <w:szCs w:val="20"/>
          <w:lang w:eastAsia="it-IT"/>
        </w:rPr>
        <w:t>Depositata in Segreteria il 11/02/2016</w:t>
      </w:r>
    </w:p>
    <w:p w:rsidR="006B5AAC" w:rsidRDefault="006B5AAC" w:rsidP="006B5AAC">
      <w:pPr>
        <w:widowControl w:val="0"/>
        <w:suppressAutoHyphens w:val="0"/>
        <w:kinsoku w:val="0"/>
        <w:autoSpaceDN w:val="0"/>
        <w:snapToGrid w:val="0"/>
        <w:ind w:right="27"/>
        <w:jc w:val="center"/>
        <w:textAlignment w:val="baseline"/>
        <w:rPr>
          <w:rFonts w:ascii="Verdana" w:eastAsia="Times New Roman" w:hAnsi="Verdana" w:cs="Arial"/>
          <w:sz w:val="20"/>
          <w:szCs w:val="20"/>
          <w:lang w:eastAsia="it-IT"/>
        </w:rPr>
      </w:pPr>
      <w:r>
        <w:rPr>
          <w:rFonts w:ascii="Verdana" w:eastAsia="Times New Roman" w:hAnsi="Verdana" w:cs="Arial"/>
          <w:sz w:val="20"/>
          <w:szCs w:val="20"/>
          <w:lang w:eastAsia="it-IT"/>
        </w:rPr>
        <w:t>Il Direttore della Segreteria</w:t>
      </w:r>
    </w:p>
    <w:p w:rsidR="006B5AAC" w:rsidRDefault="006B5AAC" w:rsidP="006B5AAC">
      <w:pPr>
        <w:widowControl w:val="0"/>
        <w:suppressAutoHyphens w:val="0"/>
        <w:kinsoku w:val="0"/>
        <w:ind w:right="27"/>
        <w:jc w:val="center"/>
        <w:rPr>
          <w:rFonts w:ascii="Verdana" w:hAnsi="Verdana" w:cs="Arial"/>
          <w:sz w:val="20"/>
          <w:szCs w:val="20"/>
        </w:rPr>
      </w:pPr>
      <w:r>
        <w:rPr>
          <w:rFonts w:ascii="Verdana" w:eastAsia="Times New Roman" w:hAnsi="Verdana" w:cs="Arial"/>
          <w:sz w:val="20"/>
          <w:szCs w:val="20"/>
          <w:lang w:eastAsia="it-IT"/>
        </w:rPr>
        <w:t xml:space="preserve">F.to </w:t>
      </w:r>
      <w:proofErr w:type="spellStart"/>
      <w:r>
        <w:rPr>
          <w:rFonts w:ascii="Verdana" w:eastAsia="Times New Roman" w:hAnsi="Verdana" w:cs="Arial"/>
          <w:sz w:val="20"/>
          <w:szCs w:val="20"/>
          <w:lang w:eastAsia="it-IT"/>
        </w:rPr>
        <w:t>Marialuce</w:t>
      </w:r>
      <w:proofErr w:type="spellEnd"/>
      <w:r>
        <w:rPr>
          <w:rFonts w:ascii="Verdana" w:eastAsia="Times New Roman" w:hAnsi="Verdana" w:cs="Arial"/>
          <w:sz w:val="20"/>
          <w:szCs w:val="20"/>
          <w:lang w:eastAsia="it-IT"/>
        </w:rPr>
        <w:t xml:space="preserve"> </w:t>
      </w:r>
      <w:proofErr w:type="spellStart"/>
      <w:r>
        <w:rPr>
          <w:rFonts w:ascii="Verdana" w:eastAsia="Times New Roman" w:hAnsi="Verdana" w:cs="Arial"/>
          <w:sz w:val="20"/>
          <w:szCs w:val="20"/>
          <w:lang w:eastAsia="it-IT"/>
        </w:rPr>
        <w:t>Sciannameo</w:t>
      </w:r>
      <w:proofErr w:type="spellEnd"/>
    </w:p>
    <w:p w:rsidR="00917EC8" w:rsidRDefault="00917EC8">
      <w:bookmarkStart w:id="0" w:name="_GoBack"/>
      <w:bookmarkEnd w:id="0"/>
    </w:p>
    <w:sectPr w:rsidR="00917EC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1972"/>
    <w:multiLevelType w:val="hybridMultilevel"/>
    <w:tmpl w:val="6B52848C"/>
    <w:lvl w:ilvl="0" w:tplc="8DF4425E">
      <w:start w:val="3"/>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1">
    <w:nsid w:val="3CAB1B80"/>
    <w:multiLevelType w:val="hybridMultilevel"/>
    <w:tmpl w:val="4D728938"/>
    <w:lvl w:ilvl="0" w:tplc="0410000F">
      <w:start w:val="1"/>
      <w:numFmt w:val="decimal"/>
      <w:lvlText w:val="%1."/>
      <w:lvlJc w:val="left"/>
      <w:pPr>
        <w:tabs>
          <w:tab w:val="num" w:pos="1428"/>
        </w:tabs>
        <w:ind w:left="1428" w:hanging="360"/>
      </w:pPr>
    </w:lvl>
    <w:lvl w:ilvl="1" w:tplc="04100019">
      <w:start w:val="1"/>
      <w:numFmt w:val="lowerLetter"/>
      <w:lvlText w:val="%2."/>
      <w:lvlJc w:val="left"/>
      <w:pPr>
        <w:tabs>
          <w:tab w:val="num" w:pos="2148"/>
        </w:tabs>
        <w:ind w:left="2148" w:hanging="360"/>
      </w:pPr>
    </w:lvl>
    <w:lvl w:ilvl="2" w:tplc="0410001B">
      <w:start w:val="1"/>
      <w:numFmt w:val="lowerRoman"/>
      <w:lvlText w:val="%3."/>
      <w:lvlJc w:val="right"/>
      <w:pPr>
        <w:tabs>
          <w:tab w:val="num" w:pos="2868"/>
        </w:tabs>
        <w:ind w:left="2868" w:hanging="180"/>
      </w:pPr>
    </w:lvl>
    <w:lvl w:ilvl="3" w:tplc="0410000F">
      <w:start w:val="1"/>
      <w:numFmt w:val="decimal"/>
      <w:lvlText w:val="%4."/>
      <w:lvlJc w:val="left"/>
      <w:pPr>
        <w:tabs>
          <w:tab w:val="num" w:pos="3588"/>
        </w:tabs>
        <w:ind w:left="3588" w:hanging="360"/>
      </w:pPr>
    </w:lvl>
    <w:lvl w:ilvl="4" w:tplc="04100019">
      <w:start w:val="1"/>
      <w:numFmt w:val="lowerLetter"/>
      <w:lvlText w:val="%5."/>
      <w:lvlJc w:val="left"/>
      <w:pPr>
        <w:tabs>
          <w:tab w:val="num" w:pos="4308"/>
        </w:tabs>
        <w:ind w:left="4308" w:hanging="360"/>
      </w:pPr>
    </w:lvl>
    <w:lvl w:ilvl="5" w:tplc="0410001B">
      <w:start w:val="1"/>
      <w:numFmt w:val="lowerRoman"/>
      <w:lvlText w:val="%6."/>
      <w:lvlJc w:val="right"/>
      <w:pPr>
        <w:tabs>
          <w:tab w:val="num" w:pos="5028"/>
        </w:tabs>
        <w:ind w:left="5028" w:hanging="180"/>
      </w:pPr>
    </w:lvl>
    <w:lvl w:ilvl="6" w:tplc="0410000F">
      <w:start w:val="1"/>
      <w:numFmt w:val="decimal"/>
      <w:lvlText w:val="%7."/>
      <w:lvlJc w:val="left"/>
      <w:pPr>
        <w:tabs>
          <w:tab w:val="num" w:pos="5748"/>
        </w:tabs>
        <w:ind w:left="5748" w:hanging="360"/>
      </w:pPr>
    </w:lvl>
    <w:lvl w:ilvl="7" w:tplc="04100019">
      <w:start w:val="1"/>
      <w:numFmt w:val="lowerLetter"/>
      <w:lvlText w:val="%8."/>
      <w:lvlJc w:val="left"/>
      <w:pPr>
        <w:tabs>
          <w:tab w:val="num" w:pos="6468"/>
        </w:tabs>
        <w:ind w:left="6468" w:hanging="360"/>
      </w:pPr>
    </w:lvl>
    <w:lvl w:ilvl="8" w:tplc="0410001B">
      <w:start w:val="1"/>
      <w:numFmt w:val="lowerRoman"/>
      <w:lvlText w:val="%9."/>
      <w:lvlJc w:val="right"/>
      <w:pPr>
        <w:tabs>
          <w:tab w:val="num" w:pos="7188"/>
        </w:tabs>
        <w:ind w:left="718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CAA"/>
    <w:rsid w:val="006B5AAC"/>
    <w:rsid w:val="00872CAA"/>
    <w:rsid w:val="00917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B5AAC"/>
    <w:pPr>
      <w:suppressAutoHyphens/>
      <w:spacing w:after="0" w:line="240" w:lineRule="auto"/>
    </w:pPr>
    <w:rPr>
      <w:rFonts w:ascii="Times New Roman" w:eastAsia="Calibri"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delblocco1">
    <w:name w:val="Testo del blocco1"/>
    <w:basedOn w:val="Normale"/>
    <w:rsid w:val="006B5AAC"/>
    <w:pPr>
      <w:spacing w:line="360" w:lineRule="auto"/>
      <w:ind w:left="902" w:right="816" w:firstLine="539"/>
      <w:jc w:val="both"/>
    </w:pPr>
    <w:rPr>
      <w:rFonts w:ascii="Arial" w:hAnsi="Arial" w:cs="Arial"/>
    </w:rPr>
  </w:style>
  <w:style w:type="paragraph" w:customStyle="1" w:styleId="Standard">
    <w:name w:val="Standard"/>
    <w:rsid w:val="006B5AAC"/>
    <w:pPr>
      <w:widowControl w:val="0"/>
      <w:suppressAutoHyphens/>
      <w:autoSpaceDN w:val="0"/>
      <w:spacing w:after="0" w:line="240" w:lineRule="auto"/>
    </w:pPr>
    <w:rPr>
      <w:rFonts w:ascii="Times New Roman" w:eastAsia="SimSun" w:hAnsi="Times New Roma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B5AAC"/>
    <w:pPr>
      <w:suppressAutoHyphens/>
      <w:spacing w:after="0" w:line="240" w:lineRule="auto"/>
    </w:pPr>
    <w:rPr>
      <w:rFonts w:ascii="Times New Roman" w:eastAsia="Calibri"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delblocco1">
    <w:name w:val="Testo del blocco1"/>
    <w:basedOn w:val="Normale"/>
    <w:rsid w:val="006B5AAC"/>
    <w:pPr>
      <w:spacing w:line="360" w:lineRule="auto"/>
      <w:ind w:left="902" w:right="816" w:firstLine="539"/>
      <w:jc w:val="both"/>
    </w:pPr>
    <w:rPr>
      <w:rFonts w:ascii="Arial" w:hAnsi="Arial" w:cs="Arial"/>
    </w:rPr>
  </w:style>
  <w:style w:type="paragraph" w:customStyle="1" w:styleId="Standard">
    <w:name w:val="Standard"/>
    <w:rsid w:val="006B5AAC"/>
    <w:pPr>
      <w:widowControl w:val="0"/>
      <w:suppressAutoHyphens/>
      <w:autoSpaceDN w:val="0"/>
      <w:spacing w:after="0" w:line="240" w:lineRule="auto"/>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0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1651</Words>
  <Characters>9417</Characters>
  <Application>Microsoft Office Word</Application>
  <DocSecurity>0</DocSecurity>
  <Lines>78</Lines>
  <Paragraphs>22</Paragraphs>
  <ScaleCrop>false</ScaleCrop>
  <Company>Centro Studi Enti Locali</Company>
  <LinksUpToDate>false</LinksUpToDate>
  <CharactersWithSpaces>11046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dc:creator>
  <cp:keywords/>
  <dc:description/>
  <cp:lastModifiedBy>Carolina</cp:lastModifiedBy>
  <cp:revision>2</cp:revision>
  <dcterms:created xsi:type="dcterms:W3CDTF">2016-02-25T08:39:00Z</dcterms:created>
  <dcterms:modified xsi:type="dcterms:W3CDTF">2016-02-25T08:40:00Z</dcterms:modified>
</cp:coreProperties>
</file>