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EB5" w:rsidRDefault="00B37EB5" w:rsidP="00B37EB5">
      <w:r>
        <w:t>DELIBERAZIONE n.81/2016/PAR</w:t>
      </w:r>
    </w:p>
    <w:p w:rsidR="00B37EB5" w:rsidRDefault="00B37EB5" w:rsidP="00B37EB5">
      <w:r>
        <w:t>Repubblica Italiana</w:t>
      </w:r>
    </w:p>
    <w:p w:rsidR="00B37EB5" w:rsidRDefault="00B37EB5" w:rsidP="00B37EB5">
      <w:r>
        <w:t>la</w:t>
      </w:r>
    </w:p>
    <w:p w:rsidR="00B37EB5" w:rsidRDefault="00B37EB5" w:rsidP="00B37EB5">
      <w:r>
        <w:t>Corte dei Conti</w:t>
      </w:r>
    </w:p>
    <w:p w:rsidR="00B37EB5" w:rsidRDefault="00B37EB5" w:rsidP="00B37EB5">
      <w:r>
        <w:t>Sezione regionale di controllo per il Molise</w:t>
      </w:r>
    </w:p>
    <w:p w:rsidR="00B37EB5" w:rsidRDefault="00B37EB5" w:rsidP="00B37EB5">
      <w:r>
        <w:t>nell’adunanza del 13 aprile 2016</w:t>
      </w:r>
    </w:p>
    <w:p w:rsidR="00B37EB5" w:rsidRDefault="00B37EB5" w:rsidP="00B37EB5">
      <w:r>
        <w:t>***********</w:t>
      </w:r>
    </w:p>
    <w:p w:rsidR="00B37EB5" w:rsidRDefault="00B37EB5" w:rsidP="00B37EB5">
      <w:r>
        <w:t>composta dai magistrati:</w:t>
      </w:r>
    </w:p>
    <w:p w:rsidR="00B37EB5" w:rsidRDefault="00B37EB5" w:rsidP="00B37EB5">
      <w:r>
        <w:t xml:space="preserve">dott. Silvio Di Virgilio                             Presidente f.f. </w:t>
      </w:r>
    </w:p>
    <w:p w:rsidR="00B37EB5" w:rsidRDefault="00B37EB5" w:rsidP="00B37EB5">
      <w:r>
        <w:t>dott. Luigi Di Marco                               Primo Referendario</w:t>
      </w:r>
    </w:p>
    <w:p w:rsidR="00B37EB5" w:rsidRDefault="00B37EB5" w:rsidP="00B37EB5">
      <w:r>
        <w:t xml:space="preserve">dott. Alessandro </w:t>
      </w:r>
      <w:proofErr w:type="spellStart"/>
      <w:r>
        <w:t>Verrico</w:t>
      </w:r>
      <w:proofErr w:type="spellEnd"/>
      <w:r>
        <w:t xml:space="preserve">                         Referendario, relatore</w:t>
      </w:r>
    </w:p>
    <w:p w:rsidR="00B37EB5" w:rsidRDefault="00B37EB5" w:rsidP="00B37EB5">
      <w:r>
        <w:t>***********</w:t>
      </w:r>
    </w:p>
    <w:p w:rsidR="00B37EB5" w:rsidRDefault="00B37EB5" w:rsidP="00B37EB5">
      <w:r>
        <w:t>VISTO l’art.100, comma 2, della Costituzione;</w:t>
      </w:r>
    </w:p>
    <w:p w:rsidR="00B37EB5" w:rsidRDefault="00B37EB5" w:rsidP="00B37EB5">
      <w:r>
        <w:t>VISTO il testo unico delle leggi sulla Corte dei conti, approvato con Regio Decreto 12 luglio 1934, n.1214 e successive modificazioni;</w:t>
      </w:r>
    </w:p>
    <w:p w:rsidR="00B37EB5" w:rsidRDefault="00B37EB5" w:rsidP="00B37EB5">
      <w:r>
        <w:t>VISTA la legge 21 marzo 1953, n.161;</w:t>
      </w:r>
    </w:p>
    <w:p w:rsidR="00B37EB5" w:rsidRDefault="00B37EB5" w:rsidP="00B37EB5">
      <w:r>
        <w:t xml:space="preserve">VISTA la Legge 14 gennaio 1994, n.20, recante disposizioni in materia di giurisdizione e controllo della Corte dei conti; </w:t>
      </w:r>
    </w:p>
    <w:p w:rsidR="00B37EB5" w:rsidRDefault="00B37EB5" w:rsidP="00B37EB5">
      <w:r>
        <w:t>VISTA la deliberazione delle Sezioni riunite della Corte dei conti n.14/2000 del 16 giugno 2000, che ha approvato il regolamento per l’organizzazione delle funzioni di controllo della Corte dei conti, modificata con le deliberazioni delle Sezioni riunite n.2 del 3 luglio 2003 e n.1 del 17 dicembre 2004;</w:t>
      </w:r>
    </w:p>
    <w:p w:rsidR="00B37EB5" w:rsidRDefault="00B37EB5" w:rsidP="00B37EB5">
      <w:r>
        <w:t xml:space="preserve">VISTO il decreto legislativo 18 agosto 2000, n.267 recante il Testo unico </w:t>
      </w:r>
    </w:p>
    <w:p w:rsidR="00B37EB5" w:rsidRDefault="00B37EB5" w:rsidP="00B37EB5">
      <w:r>
        <w:t>delle leggi sull’ordinamento degli enti locali;</w:t>
      </w:r>
    </w:p>
    <w:p w:rsidR="00B37EB5" w:rsidRDefault="00B37EB5" w:rsidP="00B37EB5">
      <w:r>
        <w:t>VISTA la Legge 5 giugno 2003, n.131 recante disposizioni per l’adeguamento dell’ordinamento della Repubblica alla Legge costituzionale 18 ottobre 2001, n.3, ed in particolare l’art.7, comma 8;</w:t>
      </w:r>
    </w:p>
    <w:p w:rsidR="00B37EB5" w:rsidRDefault="00B37EB5" w:rsidP="00B37EB5">
      <w:r>
        <w:t>VISTO l’atto d’indirizzo della Sezione delle Autonomie del 27 aprile 2004, avente ad oggetto gli indirizzi e criteri generali per l’esercizio dell’attività consultiva, come integrato e modificato dalla deliberazione della medesima Sezione del 4 giugno 2009, n.9;</w:t>
      </w:r>
    </w:p>
    <w:p w:rsidR="00B37EB5" w:rsidRDefault="00B37EB5" w:rsidP="00B37EB5">
      <w:r>
        <w:t>VISTA la deliberazione della Sezione delle Autonomie del 17 febbraio 2006, n. 5;</w:t>
      </w:r>
    </w:p>
    <w:p w:rsidR="00B37EB5" w:rsidRDefault="00B37EB5" w:rsidP="00B37EB5">
      <w:r>
        <w:t>VISTA la deliberazione delle Sezioni Riunite di questa Corte n.54/CONTR/10 del 17 novembre 2010;</w:t>
      </w:r>
    </w:p>
    <w:p w:rsidR="00B37EB5" w:rsidRDefault="00B37EB5" w:rsidP="00B37EB5">
      <w:r>
        <w:lastRenderedPageBreak/>
        <w:t xml:space="preserve">VISTA la nota </w:t>
      </w:r>
      <w:proofErr w:type="spellStart"/>
      <w:r>
        <w:t>prot</w:t>
      </w:r>
      <w:proofErr w:type="spellEnd"/>
      <w:r>
        <w:t>. n.799 del 17 marzo 2016, registrata al protocollo di questa Sezione n.797 del 21 marzo 2016, con la quale il Sindaco del Comune di San Giuliano del Sannio ha avanzato richiesta di parere;</w:t>
      </w:r>
    </w:p>
    <w:p w:rsidR="00B37EB5" w:rsidRDefault="00B37EB5" w:rsidP="00B37EB5">
      <w:r>
        <w:t>VISTA l’ordinanza n.8/PRES/2016 del 6 aprile u.s. di convocazione della Sezione per l’odierna seduta per deliberare sulla suddetta richiesta;</w:t>
      </w:r>
    </w:p>
    <w:p w:rsidR="00B37EB5" w:rsidRDefault="00B37EB5" w:rsidP="00B37EB5">
      <w:r>
        <w:t xml:space="preserve">UDITO il relatore, </w:t>
      </w:r>
      <w:proofErr w:type="spellStart"/>
      <w:r>
        <w:t>Ref</w:t>
      </w:r>
      <w:proofErr w:type="spellEnd"/>
      <w:r>
        <w:t xml:space="preserve">. Alessandro </w:t>
      </w:r>
      <w:proofErr w:type="spellStart"/>
      <w:r>
        <w:t>Verrico</w:t>
      </w:r>
      <w:proofErr w:type="spellEnd"/>
      <w:r>
        <w:t>;</w:t>
      </w:r>
    </w:p>
    <w:p w:rsidR="00B37EB5" w:rsidRDefault="00B37EB5" w:rsidP="00B37EB5">
      <w:r>
        <w:t xml:space="preserve">Oggetto del parere </w:t>
      </w:r>
    </w:p>
    <w:p w:rsidR="00B37EB5" w:rsidRDefault="00B37EB5" w:rsidP="00B37EB5">
      <w:r>
        <w:t xml:space="preserve">Il Sindaco del Comune di San Giuliano del Sannio, con nota </w:t>
      </w:r>
      <w:proofErr w:type="spellStart"/>
      <w:r>
        <w:t>prot</w:t>
      </w:r>
      <w:proofErr w:type="spellEnd"/>
      <w:r>
        <w:t xml:space="preserve">. n.799 del 17 marzo 2016, registrata al protocollo di questa Sezione n.797 del 21 marzo 2016, ha in primo luogo comunicato che, in ottemperanza alla deliberazione n.48/2016/VSG con cui questa Sezione Regionale di controllo ha segnalato il mancato rispetto da parte dell’Ente dei termini previsti dalla legge per la redazione, sottoscrizione e pubblicazione della relazione di fine mandato iniziato con le elezioni del 28 marzo 2010, in data 17 marzo 2016 ha provveduto a pubblicare sul sito istituzionale dell’Ente la detta delibera. Ha peraltro inviato una richiesta di parere in merito all’individuazione del soggetto deputato all’adozione delle sanzioni amministrative di carattere pecuniario previste dall’art.4, comma 6, del </w:t>
      </w:r>
      <w:proofErr w:type="spellStart"/>
      <w:r>
        <w:t>D.Lgs.</w:t>
      </w:r>
      <w:proofErr w:type="spellEnd"/>
      <w:r>
        <w:t xml:space="preserve"> 6 settembre 2011, n.149, considerato che gli “uffici dell’Ente appositamente preposti alla liquidazione delle competenze” (cfr. Sez. Autonomie n.15/2015/QMIG citata; Sez. controllo Puglia n.36/VSG/2015, Sez. controllo Liguria n.8/2VSG/2015) si identificano, nell’ambito del Comune istante, nel Segretario comunale, il quale, se, da un lato, sarebbe competente a tal fine rivestendo il ruolo del responsabile dell’ufficio finanziario, dall’altro, essendo già in servizio all’epoca dell’adempimento, è parte coinvolta nell’elaborazione della relazione di fine mandato ed è possibile soggetto destinatario delle sanzioni. </w:t>
      </w:r>
    </w:p>
    <w:p w:rsidR="00B37EB5" w:rsidRDefault="00B37EB5" w:rsidP="00B37EB5">
      <w:r>
        <w:t>DIRITTO</w:t>
      </w:r>
    </w:p>
    <w:p w:rsidR="00B37EB5" w:rsidRDefault="00B37EB5" w:rsidP="00B37EB5">
      <w:r>
        <w:t>Ammissibilità soggettiva.</w:t>
      </w:r>
    </w:p>
    <w:p w:rsidR="00B37EB5" w:rsidRDefault="00B37EB5" w:rsidP="00B37EB5">
      <w:r>
        <w:t xml:space="preserve">La richiesta di parere deve considerarsi ammissibile, sotto il profilo soggettivo, laddove formulata dall’organo di vertice dell’Amministrazione, legittimato ad esprimere la volontà dell’Ente essendo munito di rappresentanza legale esterna. Tale organo, nel caso del Comune, è il Sindaco, ai sensi dell’art. 50 del D.lgs. n.267/2000. </w:t>
      </w:r>
    </w:p>
    <w:p w:rsidR="00B37EB5" w:rsidRDefault="00B37EB5" w:rsidP="00B37EB5">
      <w:r>
        <w:t xml:space="preserve">Al riguardo, si osserva che la richiesta di parere in esame proviene dal Sindaco del Comune di San Giuliano del Sannio (CB) e, pertanto, va affermato che, nel caso di specie, la richiesta di parere è soggettivamente ammissibile poiché promanante dall’organo legittimato </w:t>
      </w:r>
    </w:p>
    <w:p w:rsidR="00B37EB5" w:rsidRDefault="00B37EB5" w:rsidP="00B37EB5">
      <w:r>
        <w:t>a proporla.</w:t>
      </w:r>
    </w:p>
    <w:p w:rsidR="00B37EB5" w:rsidRDefault="00B37EB5" w:rsidP="00B37EB5">
      <w:r>
        <w:t>Ammissibilità oggettiva.</w:t>
      </w:r>
    </w:p>
    <w:p w:rsidR="00B37EB5" w:rsidRDefault="00B37EB5" w:rsidP="00B37EB5">
      <w:r>
        <w:t xml:space="preserve">Con riferimento alla verifica del profilo oggettivo, nello specifico occorre verificare se la questione proposta rientri nell’ambito delle funzioni attribuite alle Sezioni regionali della Corte dei conti dall’art.7, comma 8, della legge 6 giugno 2003, n.131, secondo cui Regioni, Province e Comuni possono chiedere a dette Sezioni pareri in materia di contabilità pubblica nonché ulteriori forme di collaborazione ai fini della regolare gestione finanziaria e dell’efficienza e dell’efficacia dell’azione amministrativa. </w:t>
      </w:r>
    </w:p>
    <w:p w:rsidR="00B37EB5" w:rsidRDefault="00B37EB5" w:rsidP="00B37EB5">
      <w:r>
        <w:t xml:space="preserve">Al riguardo va rammentato che, in merito all’ambito di estensione della funzione consultiva intestata alle Sezioni regionali di controllo della Corte dei conti, sono intervenute sia le Sezioni riunite sia la Sezione delle </w:t>
      </w:r>
      <w:r>
        <w:lastRenderedPageBreak/>
        <w:t xml:space="preserve">autonomie con pronunce di orientamento generale, rispettivamente, ai sensi dell’articolo 17, comma 31, </w:t>
      </w:r>
      <w:proofErr w:type="spellStart"/>
      <w:r>
        <w:t>d.l.</w:t>
      </w:r>
      <w:proofErr w:type="spellEnd"/>
      <w:r>
        <w:t xml:space="preserve"> n.78/2009 e dell’articolo 6, comma 4, </w:t>
      </w:r>
      <w:proofErr w:type="spellStart"/>
      <w:r>
        <w:t>d.l.</w:t>
      </w:r>
      <w:proofErr w:type="spellEnd"/>
      <w:r>
        <w:t xml:space="preserve"> n.174/2012.</w:t>
      </w:r>
    </w:p>
    <w:p w:rsidR="00B37EB5" w:rsidRDefault="00B37EB5" w:rsidP="00B37EB5">
      <w:r>
        <w:t>In particolare, con deliberazione 17 novembre 2010, n.54, le Sezioni riunite hanno affermato che l’art.7, comma 8, della legge n.131/2003 “conferisce alle Sezioni regionali di controllo della Corte dei conti non già una funzione di consulenza di portata generale, bensì limitata alla materia di contabilità pubblica”, precisando inoltre che la nozione di contabilità pubblica non si estende sino a ricomprendere la totalità dell’azione amministrativa che presenti riflessi di natura finanziaria, ma deve intendersi limitata al “sistema di principi e di norme che regolano l’attività finanziaria e patrimoniale dello Stato e degli Enti pubblici”, sia pure “in una visione dinamica dell’accezione che sposta l’angolo visuale dal tradizionale contesto della gestione del bilancio a quello inerente ai relativi equilibri”.</w:t>
      </w:r>
    </w:p>
    <w:p w:rsidR="00B37EB5" w:rsidRDefault="00B37EB5" w:rsidP="00B37EB5">
      <w:r>
        <w:t xml:space="preserve">Si aggiunga inoltre che la Sezione delle autonomie, con la recente deliberazione n.3/2014/SEZAUT, ha individuato tra i criteri utilizzabili per valutare oggettivamente ammissibile una richiesta di parere, oltre “all’eventuale riflesso finanziario di un atto sul bilancio dell’ente”, anche l’attinenza del quesito proposto ad “una competenza tipica della Corte dei conti in sede di controllo sulle autonomie territoriali”; del resto, “materie estranee, nel loro nucleo originario alla contabilità pubblica … possono ritenersi ad essa riconducibili, per effetto della particolare considerazione riservata dal Legislatore, nell’ambito della funzione di coordinamento della finanza pubblica”.  </w:t>
      </w:r>
    </w:p>
    <w:p w:rsidR="00B37EB5" w:rsidRDefault="00B37EB5" w:rsidP="00B37EB5">
      <w:r>
        <w:t xml:space="preserve">Infine, si ricorda che, per consolidato orientamento, la funzione consultiva assegnata alla Corte dei conti deve trattare ambiti ed oggetti di carattere generale e non fatti gestionali specifici, non può riguardare provvedimenti già formalmente adottati e non può interferire con le funzioni assegnate ad altre Magistrature o alla stessa Corte dei conti. </w:t>
      </w:r>
    </w:p>
    <w:p w:rsidR="00B37EB5" w:rsidRDefault="00B37EB5" w:rsidP="00B37EB5">
      <w:r>
        <w:t>Sulla base di quanto precede, pertanto, la richiesta in esame va considerata ammissibile anche sotto il profilo oggettivo, essendo diretta fondamentalmente ad ottenere l’esatta interpretazione di norme. Trattasi, infatti, di richiesta che rientra nell’ambito della contabilità pubblica e, sebbene presupponga il procedimento di controllo condotto dalla presente Sezione, non incide sullo stesso presentando un carattere di generalità, poiché si inserisce in un momento ontologicamente e cronologicamente successivo alla citata delibera di accertamento e, in particolare, ricade nell’ambito del procedimento amministrativo di competenza dell’Ente di irrogazione delle sanzioni pecuniarie normativamente previste.</w:t>
      </w:r>
    </w:p>
    <w:p w:rsidR="00B37EB5" w:rsidRDefault="00B37EB5" w:rsidP="00B37EB5">
      <w:r>
        <w:t>Merito.</w:t>
      </w:r>
    </w:p>
    <w:p w:rsidR="00B37EB5" w:rsidRDefault="00B37EB5" w:rsidP="00B37EB5">
      <w:r>
        <w:t xml:space="preserve">Come anticipato, con deliberazione n.48/2016/VSG questa Sezione Regionale di controllo segnalava il mancato rispetto da parte del Comune istante dei termini previsti dalla legge per la redazione, sottoscrizione e pubblicazione della relazione di fine mandato iniziato con le elezioni del 28 marzo 2010. Veniva pertanto prescritto all’Ente di dare contezza della data entro cui era stata elaborata la relazione di fine mandato da parte del responsabile del servizio finanziario o del segretario comunale e di portare ad attuazione le sanzioni amministrative previste dall’art.4, comma 6, </w:t>
      </w:r>
      <w:proofErr w:type="spellStart"/>
      <w:r>
        <w:t>D.Lgs.</w:t>
      </w:r>
      <w:proofErr w:type="spellEnd"/>
      <w:r>
        <w:t xml:space="preserve"> n.149/2011 (come sostituito dall'art.1-bis, comma 2, </w:t>
      </w:r>
      <w:proofErr w:type="spellStart"/>
      <w:r>
        <w:t>lett</w:t>
      </w:r>
      <w:proofErr w:type="spellEnd"/>
      <w:r>
        <w:t>. e), D.L. n.174/2012, convertito, con modificazioni, dalla L. n.213/2012: cfr. Sez. Autonomie n.15/2015/QMIG citata; Sez. controllo Puglia n.36/VSG/2015, Sez. controllo Liguria n.8/2VSG/2015) a carico:</w:t>
      </w:r>
    </w:p>
    <w:p w:rsidR="00B37EB5" w:rsidRDefault="00B37EB5" w:rsidP="00B37EB5">
      <w:r>
        <w:t>•</w:t>
      </w:r>
      <w:r>
        <w:tab/>
        <w:t>nel caso di accertato ritardo, del responsabile del servizio finanziario o del segretario comunale in ragione della ritardata elaborazione della relazione di fine mandato;</w:t>
      </w:r>
    </w:p>
    <w:p w:rsidR="00B37EB5" w:rsidRDefault="00B37EB5" w:rsidP="00B37EB5">
      <w:r>
        <w:lastRenderedPageBreak/>
        <w:t>•</w:t>
      </w:r>
      <w:r>
        <w:tab/>
        <w:t>del sindaco eletto con il suffragio del 28 marzo 2010 in ragione della tardiva sottoscrizione e pubblicazione della relazione di fine mandato espletato.</w:t>
      </w:r>
    </w:p>
    <w:p w:rsidR="00B37EB5" w:rsidRDefault="00B37EB5" w:rsidP="00B37EB5">
      <w:r>
        <w:t>Invero, richiamando quanto già in quella sede affermato, secondo l’indirizzo già manifestato dalla giurisprudenza della Corte dei conti, la competenza ad applicare le decurtazioni in parola, in assenza di apposita previsione volta ad attribuire espressamente alla Sezione di controllo regionale, va individuata secondo le consuete regole vigenti in materia di sanzioni amministrative e, quindi, principalmente, secondo quanto disposto dalla L. 24 novembre 1981, n.689.</w:t>
      </w:r>
    </w:p>
    <w:p w:rsidR="00B37EB5" w:rsidRDefault="00B37EB5" w:rsidP="00B37EB5">
      <w:r>
        <w:t>Pertanto, la disposizione prevista dal comma 6 dell’art.4 del d.lgs. n.149/2011 “si colloca tra le disposizioni precettive connotate da finalità di tutela della finanza pubblica, che spetta all’ente locale portare ad attuazione” ed, in particolare, deve essere adottata dagli uffici dell’Ente appositamente preposti alla liquidazione delle competenze (cfr. Sez. Autonomie n.15/2015/QMIG citata; Sez. controllo Puglia n.36/VSG/2015, Sez. controllo Liguria n.8/2VSG/2015).</w:t>
      </w:r>
    </w:p>
    <w:p w:rsidR="00B37EB5" w:rsidRDefault="00B37EB5" w:rsidP="00B37EB5">
      <w:r>
        <w:t>Ciò considerato, la Sezione prende atto della situazione di fatto venutasi a verificare nel Comune istante, secondo cui al Segretario comunale sarebbe stato assegnato il ruolo di responsabile dell’ufficio finanziario, con la conseguenza che, se, da un lato, lo stesso si identificherebbe nel soggetto competente all’irrogazione delle dette sanzioni pecuniarie, dall’altro, essendo già in servizio all’epoca dell’adempimento, si manifesterebbe come parte coinvolta nell’elaborazione della relazione di fine mandato e, per l’effetto, possibile soggetto destinatario delle sanzioni.</w:t>
      </w:r>
    </w:p>
    <w:p w:rsidR="00B37EB5" w:rsidRDefault="00B37EB5" w:rsidP="00B37EB5">
      <w:r>
        <w:t xml:space="preserve">Al riguardo, la Sezione intende evidenziare che la recente legislazione ha prestato particolare attenzione nei confronti delle situazioni di conflitto di interesse del pubblico dipendente, le quali, oltre a dover sempre essere oggetto di apposita segnalazione, costituiscono motivo di annullamento </w:t>
      </w:r>
    </w:p>
    <w:p w:rsidR="00B37EB5" w:rsidRDefault="00B37EB5" w:rsidP="00B37EB5">
      <w:r>
        <w:t>dell’atto eventualmente adottato per violazione di legge.</w:t>
      </w:r>
    </w:p>
    <w:p w:rsidR="00B37EB5" w:rsidRDefault="00B37EB5" w:rsidP="00B37EB5">
      <w:r>
        <w:t xml:space="preserve">Sul punto rileva in primo luogo l’art.6-bis della legge n.241/1990 (articolo inserito dall'art.1, comma 41, L. 6 novembre 2012, n.190), secondo cui: “Il responsabile del procedimento e i titolari degli uffici competenti ad adottare i pareri, le valutazioni tecniche, gli atti </w:t>
      </w:r>
      <w:proofErr w:type="spellStart"/>
      <w:r>
        <w:t>endoprocedimentali</w:t>
      </w:r>
      <w:proofErr w:type="spellEnd"/>
      <w:r>
        <w:t xml:space="preserve"> e il provvedimento finale devono astenersi in caso di conflitto di interessi, segnalando ogni situazione di conflitto, anche potenziale”. Si stabilisce in tal modo un dovere di astensione assoluto, che coinvolge non solo la fase decisoria ma anche quella istruttoria e tutti i soggetti comunque chiamati anche ad esprimere solo pareri.</w:t>
      </w:r>
    </w:p>
    <w:p w:rsidR="00B37EB5" w:rsidRDefault="00B37EB5" w:rsidP="00B37EB5">
      <w:r>
        <w:t xml:space="preserve">Al riguardo, deve essere altresì richiamato l’art.6 del D.P.R. 16 aprile 2013, n.62 (“Regolamento recante codice di comportamento dei dipendenti pubblici, a norma dell'articolo 54 del decreto legislativo 30 marzo 2001, n. 165”), il quale, rubricato “Comunicazione degli interessi finanziari e conflitti d'interesse” prevede che: “Fermi restando gli obblighi di trasparenza previsti da leggi o regolamenti, il dipendente, all'atto dell'assegnazione all'ufficio, informa per iscritto il dirigente dell'ufficio di tutti i rapporti, diretti o indiretti, di collaborazione con soggetti privati in qualunque modo retribuiti che lo stesso abbia o abbia avuto negli ultimi tre anni, precisando: a) se in prima persona, o suoi parenti o affini entro il secondo grado, il coniuge o il convivente abbiano ancora rapporti finanziari con il soggetto con cui ha avuto i predetti rapporti di collaborazione; b) se tali rapporti siano intercorsi o intercorrano con soggetti che abbiano interessi in attività o decisioni inerenti all'ufficio, limitatamente alle pratiche a lui affidate. Il dipendente si astiene dal prendere decisioni o svolgere attività inerenti alle sue mansioni in situazioni di conflitto, anche potenziale, di interessi con interessi personali, del coniuge, di conviventi, di parenti, di affini entro il secondo grado. Il </w:t>
      </w:r>
      <w:r>
        <w:lastRenderedPageBreak/>
        <w:t>conflitto può riguardare interessi di qualsiasi natura, anche non patrimoniali, come quelli derivanti dall'intento di voler assecondare pressioni politiche, sindacali o dei superiori gerarchici.”</w:t>
      </w:r>
    </w:p>
    <w:p w:rsidR="00B37EB5" w:rsidRDefault="00B37EB5" w:rsidP="00B37EB5">
      <w:r>
        <w:t xml:space="preserve">Del medesimo tenore è il seguente art.7, rubricato “Obbligo di astensione”, ove è previsto che: “Il dipendente si astiene dal partecipare all'adozione di decisioni o ad </w:t>
      </w:r>
      <w:proofErr w:type="spellStart"/>
      <w:r>
        <w:t>attivita'</w:t>
      </w:r>
      <w:proofErr w:type="spellEnd"/>
      <w:r>
        <w:t xml:space="preserve">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p>
    <w:p w:rsidR="00B37EB5" w:rsidRDefault="00B37EB5" w:rsidP="00B37EB5">
      <w:r>
        <w:t>Quanto all’efficacia di tali disposizioni si ricorda inoltre che, ai sensi dell’art.16 del medesimo D.P.R., “la violazione degli obblighi previsti dal presente Codice integra comportamenti contrari ai doveri d'ufficio. Ferme restando le ipotesi in cui la violazione delle disposizioni contenute nel presente Codice, nonché dei doveri e degli obblighi previsti dal piano di prevenzione della corruzione, dà luogo anche a responsabilità penale, civile, amministrativa o contabile del pubblico dipendente, essa è fonte di responsabilità disciplinare accertata all'esito del procedimento disciplinare, nel rispetto dei principi di gradualità e proporzionalità delle sanzioni”.</w:t>
      </w:r>
    </w:p>
    <w:p w:rsidR="00B37EB5" w:rsidRDefault="00B37EB5" w:rsidP="00B37EB5">
      <w:r>
        <w:t xml:space="preserve">Alla luce della normativa richiamata, la Sezione osserva che se la situazione di conflitto reale venutasi a verificare nel caso di specie debba necessariamente essere resa pubblica e giustamente valorizzata, d’altro canto la stessa non può ovviamente costituire impedimento all’attuazione della disposizione sanzionatoria, determinando di fatto la paralisi dell’attività amministrativa. </w:t>
      </w:r>
    </w:p>
    <w:p w:rsidR="00B37EB5" w:rsidRDefault="00B37EB5" w:rsidP="00B37EB5">
      <w:r>
        <w:t xml:space="preserve">Spetterà pertanto all’Ente, secondo valutazioni di propria esclusiva discrezionalità alle quali deve necessariamente rimanere estranea questa Sezione regionale di controllo, prevedere meccanismi di sostituzione automatica che consentano di ovviare a tali eventualità, predisponendo a tal fine, per il caso di specie nonché, con finalità preventiva, per il futuro, idonee misure organizzative. </w:t>
      </w:r>
    </w:p>
    <w:p w:rsidR="00B37EB5" w:rsidRDefault="00B37EB5" w:rsidP="00B37EB5">
      <w:r>
        <w:t>P. Q. M.</w:t>
      </w:r>
    </w:p>
    <w:p w:rsidR="00B37EB5" w:rsidRDefault="00B37EB5" w:rsidP="00B37EB5">
      <w:r>
        <w:t>nelle sopra esposte considerazioni è il parere di questa Sezione.</w:t>
      </w:r>
    </w:p>
    <w:p w:rsidR="00B37EB5" w:rsidRDefault="00B37EB5" w:rsidP="00B37EB5">
      <w:r>
        <w:t>Dispone che la presente deliberazione venga trasmessa, a cura del preposto al Servizio di supporto, al Sindaco del Comune di San Giuliano del Sannio.</w:t>
      </w:r>
    </w:p>
    <w:p w:rsidR="00B37EB5" w:rsidRDefault="00B37EB5" w:rsidP="00B37EB5">
      <w:r>
        <w:t>Così deliberato in Campobasso, nella Camera di Consiglio del 13 aprile 2016.</w:t>
      </w:r>
    </w:p>
    <w:p w:rsidR="00B37EB5" w:rsidRDefault="00B37EB5" w:rsidP="00B37EB5">
      <w:r>
        <w:t xml:space="preserve">    Il Magistrato, relatore                                      Il Presidente f.f.</w:t>
      </w:r>
    </w:p>
    <w:p w:rsidR="00B37EB5" w:rsidRDefault="00B37EB5" w:rsidP="00B37EB5">
      <w:r>
        <w:t>F.to (</w:t>
      </w:r>
      <w:proofErr w:type="spellStart"/>
      <w:r>
        <w:t>Ref</w:t>
      </w:r>
      <w:proofErr w:type="spellEnd"/>
      <w:r>
        <w:t xml:space="preserve">. Alessandro </w:t>
      </w:r>
      <w:proofErr w:type="spellStart"/>
      <w:r>
        <w:t>Verrico</w:t>
      </w:r>
      <w:proofErr w:type="spellEnd"/>
      <w:r>
        <w:t>)                      F.to (</w:t>
      </w:r>
      <w:proofErr w:type="spellStart"/>
      <w:r>
        <w:t>Cons</w:t>
      </w:r>
      <w:proofErr w:type="spellEnd"/>
      <w:r>
        <w:t>. Silvio Di Virgilio)</w:t>
      </w:r>
    </w:p>
    <w:p w:rsidR="00B37EB5" w:rsidRDefault="00B37EB5" w:rsidP="00B37EB5">
      <w:r>
        <w:t>DEPOSITATA IN SEGRETERIA IL 13 aprile 2016</w:t>
      </w:r>
    </w:p>
    <w:p w:rsidR="00B37EB5" w:rsidRDefault="00B37EB5" w:rsidP="00B37EB5">
      <w:r>
        <w:t>IL DIRETTORE AMMINISTRATIVO</w:t>
      </w:r>
    </w:p>
    <w:p w:rsidR="00443788" w:rsidRDefault="00B37EB5" w:rsidP="00B37EB5">
      <w:r>
        <w:t>F.to (dott. Davide Sabato)</w:t>
      </w:r>
      <w:bookmarkStart w:id="0" w:name="_GoBack"/>
      <w:bookmarkEnd w:id="0"/>
    </w:p>
    <w:sectPr w:rsidR="004437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5D2"/>
    <w:rsid w:val="000745D2"/>
    <w:rsid w:val="00443788"/>
    <w:rsid w:val="00B37E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2382</Words>
  <Characters>13580</Characters>
  <Application>Microsoft Office Word</Application>
  <DocSecurity>0</DocSecurity>
  <Lines>113</Lines>
  <Paragraphs>31</Paragraphs>
  <ScaleCrop>false</ScaleCrop>
  <Company>Centro Studi Enti Locali</Company>
  <LinksUpToDate>false</LinksUpToDate>
  <CharactersWithSpaces>15931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dc:creator>
  <cp:keywords/>
  <dc:description/>
  <cp:lastModifiedBy>Carolina</cp:lastModifiedBy>
  <cp:revision>2</cp:revision>
  <dcterms:created xsi:type="dcterms:W3CDTF">2016-05-04T08:55:00Z</dcterms:created>
  <dcterms:modified xsi:type="dcterms:W3CDTF">2016-05-04T08:56:00Z</dcterms:modified>
</cp:coreProperties>
</file>