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4064F" w:rsidRDefault="0054064F" w:rsidP="0054064F"/>
    <w:p w:rsidR="0054064F" w:rsidRDefault="0054064F" w:rsidP="0054064F">
      <w:r>
        <w:t xml:space="preserve"> </w:t>
      </w:r>
    </w:p>
    <w:p w:rsidR="0054064F" w:rsidRDefault="0054064F" w:rsidP="0054064F">
      <w:r>
        <w:t>CORTE DEI CONTI</w:t>
      </w:r>
    </w:p>
    <w:p w:rsidR="0054064F" w:rsidRDefault="0054064F" w:rsidP="0054064F">
      <w:r>
        <w:t>SEZIONE REGIONALE DI CONTROLLO PER IL PIEMONTE</w:t>
      </w:r>
    </w:p>
    <w:p w:rsidR="0054064F" w:rsidRDefault="0054064F" w:rsidP="0054064F"/>
    <w:p w:rsidR="0054064F" w:rsidRDefault="0054064F" w:rsidP="0054064F">
      <w:r>
        <w:t>Deliberazione n. 46/2019/SRCPIE/PAR</w:t>
      </w:r>
    </w:p>
    <w:p w:rsidR="0054064F" w:rsidRDefault="0054064F" w:rsidP="0054064F"/>
    <w:p w:rsidR="0054064F" w:rsidRDefault="0054064F" w:rsidP="0054064F">
      <w:r>
        <w:t xml:space="preserve">La Sezione Regionale di Controllo per il Piemonte, nell’adunanza del 27 maggio 2019, composta dai Magistrati: </w:t>
      </w:r>
    </w:p>
    <w:p w:rsidR="0054064F" w:rsidRDefault="0054064F" w:rsidP="0054064F">
      <w:r>
        <w:t>Dott.</w:t>
      </w:r>
      <w:r>
        <w:tab/>
      </w:r>
      <w:r>
        <w:tab/>
        <w:t>Maria Teresa POLITO</w:t>
      </w:r>
      <w:r>
        <w:tab/>
      </w:r>
      <w:r>
        <w:tab/>
        <w:t xml:space="preserve">Presidente </w:t>
      </w:r>
    </w:p>
    <w:p w:rsidR="0054064F" w:rsidRDefault="0054064F" w:rsidP="0054064F">
      <w:r>
        <w:t>Dott.</w:t>
      </w:r>
      <w:r>
        <w:tab/>
      </w:r>
      <w:r>
        <w:tab/>
        <w:t>Luigi   GILI</w:t>
      </w:r>
      <w:r>
        <w:tab/>
      </w:r>
      <w:r>
        <w:tab/>
      </w:r>
      <w:r>
        <w:tab/>
        <w:t>Consigliere Relatore</w:t>
      </w:r>
    </w:p>
    <w:p w:rsidR="0054064F" w:rsidRDefault="0054064F" w:rsidP="0054064F">
      <w:r>
        <w:t>Dott.</w:t>
      </w:r>
      <w:r>
        <w:tab/>
      </w:r>
      <w:r>
        <w:tab/>
        <w:t>Mario ALI’</w:t>
      </w:r>
      <w:r>
        <w:tab/>
      </w:r>
      <w:r>
        <w:tab/>
      </w:r>
      <w:r>
        <w:tab/>
        <w:t>Consigliere</w:t>
      </w:r>
    </w:p>
    <w:p w:rsidR="0054064F" w:rsidRDefault="0054064F" w:rsidP="0054064F">
      <w:r>
        <w:t>Dott.</w:t>
      </w:r>
      <w:r>
        <w:tab/>
      </w:r>
      <w:r>
        <w:tab/>
        <w:t>Cristiano BALDI</w:t>
      </w:r>
      <w:r>
        <w:tab/>
      </w:r>
      <w:r>
        <w:tab/>
        <w:t>Primo Referendario</w:t>
      </w:r>
    </w:p>
    <w:p w:rsidR="0054064F" w:rsidRDefault="0054064F" w:rsidP="0054064F">
      <w:r>
        <w:t>Dott.</w:t>
      </w:r>
      <w:r>
        <w:tab/>
      </w:r>
      <w:r>
        <w:tab/>
        <w:t>Alessandra CUCUZZA</w:t>
      </w:r>
      <w:r>
        <w:tab/>
        <w:t>Referendario</w:t>
      </w:r>
    </w:p>
    <w:p w:rsidR="0054064F" w:rsidRDefault="0054064F" w:rsidP="0054064F">
      <w:r>
        <w:t>Dott.</w:t>
      </w:r>
      <w:r>
        <w:tab/>
      </w:r>
      <w:r>
        <w:tab/>
        <w:t>Laura ALESIANI</w:t>
      </w:r>
      <w:r>
        <w:tab/>
      </w:r>
      <w:r>
        <w:tab/>
        <w:t>Referendario</w:t>
      </w:r>
    </w:p>
    <w:p w:rsidR="0054064F" w:rsidRDefault="0054064F" w:rsidP="0054064F">
      <w:r>
        <w:t>Dott.</w:t>
      </w:r>
      <w:r>
        <w:tab/>
      </w:r>
      <w:r>
        <w:tab/>
        <w:t>Ilaria CIRILLO</w:t>
      </w:r>
      <w:r>
        <w:tab/>
      </w:r>
      <w:r>
        <w:tab/>
        <w:t>Referendario</w:t>
      </w:r>
    </w:p>
    <w:p w:rsidR="0054064F" w:rsidRDefault="0054064F" w:rsidP="0054064F">
      <w:r>
        <w:t>Dott.</w:t>
      </w:r>
      <w:r>
        <w:tab/>
      </w:r>
      <w:r>
        <w:tab/>
        <w:t>Marco MORMANDO</w:t>
      </w:r>
      <w:r>
        <w:tab/>
      </w:r>
      <w:r>
        <w:tab/>
        <w:t>Referendario</w:t>
      </w:r>
    </w:p>
    <w:p w:rsidR="0054064F" w:rsidRDefault="0054064F" w:rsidP="0054064F"/>
    <w:p w:rsidR="0054064F" w:rsidRDefault="0054064F" w:rsidP="0054064F">
      <w:r>
        <w:t>Nell’adunanza del giorno 27 maggio 2018</w:t>
      </w:r>
    </w:p>
    <w:p w:rsidR="0054064F" w:rsidRDefault="0054064F" w:rsidP="0054064F"/>
    <w:p w:rsidR="0054064F" w:rsidRDefault="0054064F" w:rsidP="0054064F">
      <w:r>
        <w:t xml:space="preserve">Vista la richiesta di parere proveniente dal Sindaco del Comune di Biandrate (NO) formulata con nota in data 17.04.2019 e pervenuta per il tramite del Consiglio delle Autonomie Locali (C.A.L.) del Piemonte il 06.05.2019; </w:t>
      </w:r>
    </w:p>
    <w:p w:rsidR="0054064F" w:rsidRDefault="0054064F" w:rsidP="0054064F">
      <w:r>
        <w:t xml:space="preserve">Visto l’art. 100, comma 2, della Costituzione; </w:t>
      </w:r>
    </w:p>
    <w:p w:rsidR="0054064F" w:rsidRDefault="0054064F" w:rsidP="0054064F">
      <w:r>
        <w:t xml:space="preserve">Visto il testo unico delle leggi sulla Corte dei conti, approvato con Regio Decreto 12 luglio 1934, n. 1214 e successive modificazioni; </w:t>
      </w:r>
    </w:p>
    <w:p w:rsidR="0054064F" w:rsidRDefault="0054064F" w:rsidP="0054064F">
      <w:r>
        <w:t xml:space="preserve">Vista la Legge 14 gennaio 1994, n. 20, recante disposizioni in materia di giurisdizione e controllo della Corte dei conti; </w:t>
      </w:r>
    </w:p>
    <w:p w:rsidR="0054064F" w:rsidRDefault="0054064F" w:rsidP="0054064F">
      <w:r>
        <w:t xml:space="preserve">Visto il Regolamento per l’organizzazione delle funzioni di controllo della Corte dei conti, deliberato dalle Sezioni Riunite in data 16 giugno 2000 e successive modificazioni; </w:t>
      </w:r>
    </w:p>
    <w:p w:rsidR="0054064F" w:rsidRDefault="0054064F" w:rsidP="0054064F">
      <w:r>
        <w:lastRenderedPageBreak/>
        <w:t xml:space="preserve">Vista la Legge 5 giugno 2003, n. 131 recante disposizioni per l’adeguamento dell’ordinamento della Repubblica alla Legge costituzionale 18 ottobre 2001, n. 3, ed in particolare l’art. 7, comma 8; </w:t>
      </w:r>
    </w:p>
    <w:p w:rsidR="0054064F" w:rsidRDefault="0054064F" w:rsidP="0054064F">
      <w:r>
        <w:t xml:space="preserve">Visto l’atto d’indirizzo della Sezione delle Autonomie del 27 aprile 2004, avente ad oggetto gli indirizzi e criteri generali per l’esercizio dell’attività consultiva, come integrato e modificato dalla deliberazione della medesima Sezione del 4 giugno 2009, n. 9; </w:t>
      </w:r>
    </w:p>
    <w:p w:rsidR="0054064F" w:rsidRDefault="0054064F" w:rsidP="0054064F">
      <w:r>
        <w:t xml:space="preserve">Vista la deliberazione della Sezione delle Autonomie del 17 febbraio 2006, n. 5; </w:t>
      </w:r>
    </w:p>
    <w:p w:rsidR="0054064F" w:rsidRDefault="0054064F" w:rsidP="0054064F">
      <w:r>
        <w:t xml:space="preserve">Vista la deliberazione delle Sezioni Riunite di questa Corte n. 54/CONTR/10 del 17 novembre 2010; </w:t>
      </w:r>
    </w:p>
    <w:p w:rsidR="0054064F" w:rsidRDefault="0054064F" w:rsidP="0054064F">
      <w:r>
        <w:t xml:space="preserve">Vista l’ordinanza con la quale il Presidente ha convocato la Sezione per l’odierna seduta; </w:t>
      </w:r>
    </w:p>
    <w:p w:rsidR="0054064F" w:rsidRDefault="0054064F" w:rsidP="0054064F">
      <w:r>
        <w:t xml:space="preserve">Udito il relatore, Consigliere dott. Luigi </w:t>
      </w:r>
      <w:proofErr w:type="spellStart"/>
      <w:r>
        <w:t>Gili</w:t>
      </w:r>
      <w:proofErr w:type="spellEnd"/>
      <w:r>
        <w:t xml:space="preserve">; </w:t>
      </w:r>
    </w:p>
    <w:p w:rsidR="0054064F" w:rsidRDefault="0054064F" w:rsidP="0054064F"/>
    <w:p w:rsidR="0054064F" w:rsidRDefault="0054064F" w:rsidP="0054064F">
      <w:r>
        <w:t>PREMESSO</w:t>
      </w:r>
    </w:p>
    <w:p w:rsidR="0054064F" w:rsidRDefault="0054064F" w:rsidP="0054064F"/>
    <w:p w:rsidR="0054064F" w:rsidRDefault="0054064F" w:rsidP="0054064F">
      <w:r>
        <w:t>Con la nota in epigrafe il Sindaco del Comune di Biandrate (NO) ha, preliminarmente, riferito che l’Amministrazione comunale, dopo aver completato i lavori di costruzione del nuovo complesso scolastico nel quale è stata trasferita l’attività didattica della scuola dell’infanzia, della scuola primaria e di quella secondaria, per agevolare l’utenza al fine di raggiungere la nuova struttura, sita nel medesimo territorio comunale, ha ritenuto di attivare, “in via del tutto sperimentale”, un servizio di trasporto scolastico comprendente il percorso tra la piazza attigua dell’edificio scolastico precedente e l’ingresso del nuovo plesso. Conseguentemente, l’Ente, nell’eventualità che il detto servizio di trasporto scolastico venga in prosieguo portato a regime, formula a questa Sezione la seguente richiesta di parere: “ se le quote di partecipazione finanziaria correlate al servizio che verranno erogate dall’utenza dovranno completamente concorrere alla copertura integrale della spesa del medesimo; e ciò anche per assicurare il conseguente equilibrio economico-finanziario in funzione del principio di invarianza finanziaria di cui all’art. 5, comma 2, del D.lgs. n. 63/2017, secondo cui il servizio di trasporto va realizzato senza determinare nuovi e maggiori oneri per gli Enti territoriali ed in base al quale le quote di partecipazione diretta nella loro interezza debbono coprire integralmente la spesa complessiva del servizio”.</w:t>
      </w:r>
    </w:p>
    <w:p w:rsidR="0054064F" w:rsidRDefault="0054064F" w:rsidP="0054064F"/>
    <w:p w:rsidR="0054064F" w:rsidRDefault="0054064F" w:rsidP="0054064F">
      <w:r>
        <w:t>Ammissibilità</w:t>
      </w:r>
    </w:p>
    <w:p w:rsidR="0054064F" w:rsidRDefault="0054064F" w:rsidP="0054064F"/>
    <w:p w:rsidR="0054064F" w:rsidRDefault="0054064F" w:rsidP="0054064F">
      <w:r>
        <w:t>L’art. 7, comma 8, della legge 5 giugno 2003, n. 131, recante “disposizioni per l'adeguamento dell'ordinamento della Repubblica alla legge costituzionale 18 ottobre 2001, n. 3”, prevede che le Regioni, i Comuni, le Province e le Città metropolitane possano richiedere pareri in materia di contabilità pubblica alle Sezioni regionali di controllo della Corte dei conti.</w:t>
      </w:r>
    </w:p>
    <w:p w:rsidR="0054064F" w:rsidRDefault="0054064F" w:rsidP="0054064F">
      <w:r>
        <w:t xml:space="preserve">Quest’ultime risultano quindi investite, per effetto della legge sopra citata, di una nuova funzione di consulenza che si affianca a quella del controllo sulla sana gestione finanziaria degli enti locali, previsto dal precedente comma 7, quale ulteriore esplicazione delle “forme di collaborazione” tra la Corte dei conti e le </w:t>
      </w:r>
      <w:r>
        <w:lastRenderedPageBreak/>
        <w:t>autonomie territoriali promossa dalla stessa legge al fine di assicurare il coordinamento della finanza pubblica.</w:t>
      </w:r>
    </w:p>
    <w:p w:rsidR="0054064F" w:rsidRDefault="0054064F" w:rsidP="0054064F">
      <w:r>
        <w:t>La Sezione Autonomie della stessa Corte dei conti, con atto del 27 aprile 2004, in seguito integrato con le deliberazioni n. 5/AUT/2006 e n. 9/SEZAUT/2009, ha fissato i principi e le modalità per l’esercizio della funzione consultiva sopra descritta, individuando, tra l’altro, i soggetti legittimati alla richiesta di parere e le singole materie riconducibili alla nozione di contabilità pubblica.</w:t>
      </w:r>
    </w:p>
    <w:p w:rsidR="0054064F" w:rsidRDefault="0054064F" w:rsidP="0054064F">
      <w:r>
        <w:t>Questa Sezione regionale è quindi chiamata a verificare, in via preliminare, l’ammissibilità della richiesta in esame, sia sotto il profilo soggettivo (legittimazione dell’organo richiedente) sia sotto il profilo oggettivo (attinenza del quesito alla materia della contabilità pubblica).</w:t>
      </w:r>
    </w:p>
    <w:p w:rsidR="0054064F" w:rsidRDefault="0054064F" w:rsidP="0054064F">
      <w:r>
        <w:t>I. Ammissibilità soggettiva.</w:t>
      </w:r>
    </w:p>
    <w:p w:rsidR="0054064F" w:rsidRDefault="0054064F" w:rsidP="0054064F">
      <w:r>
        <w:t xml:space="preserve">L’art. 7, comma 8, della citata legge 5 giugno 2003, n. 131, come detto, riserva la facoltà di richiedere pareri in materia di contabilità pubblica esclusivamente alle Regioni e, “di norma per il tramite del consiglio delle Autonomie locali”, ai Comuni, alle Province e alle Città metropolitane. </w:t>
      </w:r>
    </w:p>
    <w:p w:rsidR="0054064F" w:rsidRDefault="0054064F" w:rsidP="0054064F">
      <w:r>
        <w:t xml:space="preserve">Tale facoltà, stante la natura speciale della funzione consultiva attribuita alla Corte, non può pertanto essere estesa a soggetti diversi da quelli espressamente indicati dalla legge. </w:t>
      </w:r>
    </w:p>
    <w:p w:rsidR="0054064F" w:rsidRDefault="0054064F" w:rsidP="0054064F">
      <w:r>
        <w:t>La legittimazione alla richiesta di parere, inoltre, per i riflessi che ne possono scaturire sulla gestione finanziaria dell’ente, deve essere riconosciuta all’organo legislativamente investito della rappresentanza legale dell’ente medesimo ed individuabile, di regola, nel Presidente della Giunta regionale, nel Sindaco e nel Presidente della Provincia.</w:t>
      </w:r>
    </w:p>
    <w:p w:rsidR="0054064F" w:rsidRDefault="0054064F" w:rsidP="0054064F">
      <w:r>
        <w:t xml:space="preserve">La richiesta di parere in esame, proveniente dal Sindaco, legale rappresentante pro tempore dell’ente, ai sensi del disposto dell’art. 50 TUEL, e, come tale, legittimato a proporla, deve quindi ritenersi ammissibile sotto il profilo soggettivo. </w:t>
      </w:r>
    </w:p>
    <w:p w:rsidR="0054064F" w:rsidRDefault="0054064F" w:rsidP="0054064F">
      <w:r>
        <w:t>La medesima richiesta, peraltro, risulta inviata tramite il C.A.L. in conformità a quanto dispone la legge.</w:t>
      </w:r>
    </w:p>
    <w:p w:rsidR="0054064F" w:rsidRDefault="0054064F" w:rsidP="0054064F">
      <w:r>
        <w:t>II. Ammissibilità oggettiva.</w:t>
      </w:r>
    </w:p>
    <w:p w:rsidR="0054064F" w:rsidRDefault="0054064F" w:rsidP="0054064F">
      <w:r>
        <w:t>La facoltà di richiedere pareri, oltre ad essere limitata ai soggetti sopra indicati, risulta legislativamente circoscritta alla sola materia della contabilità pubblica.</w:t>
      </w:r>
    </w:p>
    <w:p w:rsidR="0054064F" w:rsidRDefault="0054064F" w:rsidP="0054064F">
      <w:r>
        <w:t xml:space="preserve">La funzione di consulenza riconosciuta alle Sezioni regionali di controllo della Corte dei Conti non è quindi di carattere generale, ma, coerentemente con le finalità di coordinamento della finanza pubblica perseguite dalla legge attributiva, si esplica esclusivamente su quesiti attinenti l’interpretazione di norme di contabilità e finanza pubblica, in modo da assicurarne una uniforme applicazione da parte delle autonomie territoriali.  </w:t>
      </w:r>
    </w:p>
    <w:p w:rsidR="0054064F" w:rsidRDefault="0054064F" w:rsidP="0054064F">
      <w:r>
        <w:t xml:space="preserve">Al riguardo, le Sezioni riunite della Corte dei conti, intervenendo con una pronuncia in sede di coordinamento della finanza pubblica ai sensi dell’art. 17, co. 31 del decreto-legge 1° luglio 2009, n. 78, convertito, con modificazioni, dalla legge 3 agosto 2009, n. 102, hanno delineato una nozione unitaria della nozione di contabilità pubblica incentrata sul “sistema di principi e di norme che regolano l’attività finanziaria e patrimoniale dello Stato e degli enti pubblici”, da intendersi in senso dinamico anche in relazione alle materie che incidono sulla gestione del bilancio e sui suoi equilibri (Delibera n. 54, in data 17 novembre 2010). </w:t>
      </w:r>
    </w:p>
    <w:p w:rsidR="0054064F" w:rsidRDefault="0054064F" w:rsidP="0054064F">
      <w:r>
        <w:lastRenderedPageBreak/>
        <w:t>Il limite della funzione consultiva, come sopra delineato, esclude qualsiasi possibilità di intervento della Corte dei conti nella concreta attività gestionale ed amministrativa che ricade nella esclusiva competenza dell’autorità che la svolge; nonché esclude, altresì, che la funzione consultiva possa interferire in concreto con competenze di altri organi giurisdizionali.</w:t>
      </w:r>
    </w:p>
    <w:p w:rsidR="0054064F" w:rsidRDefault="0054064F" w:rsidP="0054064F">
      <w:r>
        <w:t>Di conseguenza, posto che la nozione di contabilità pubblica va conformandosi all’evolversi dell’ordinamento, seguendo anche i nuovi principi di organizzazione dell’amministrazione, con specifico riferimento alla richiesta oggetto della presente pronuncia, la Sezione osserva che essa rientra nella materia della contabilità pubblica, in quanto attinente alla disciplina contenuta in leggi finanziarie, sul contenimento e sull’equilibrio della spesa pubblica, incidente sulla formazione e gestione del bilancio dell’ente, in relazione alle norme che disciplinano la spesa per servizi pubblici, quale componente fondamentale degli equilibri del bilancio pubblico.</w:t>
      </w:r>
    </w:p>
    <w:p w:rsidR="0054064F" w:rsidRDefault="0054064F" w:rsidP="0054064F">
      <w:r>
        <w:t>La richiesta di parere in esame risponde ai requisiti indicati sopra e, pertanto, è da ritenere ammissibile e può essere esaminata nel merito con la precisazione che il detto parere non può che rimanere ancorato a profili di carattere generale pur se la richiesta proveniente dall’ente pubblico risulta motivata dalla necessità di assumere in prosieguo specifiche decisioni.</w:t>
      </w:r>
    </w:p>
    <w:p w:rsidR="0054064F" w:rsidRDefault="0054064F" w:rsidP="0054064F">
      <w:r>
        <w:t xml:space="preserve">Ad ogni buon conto, merita rammentare che mentre la Sezione, in conformità al proprio consolidato orientamento, ritiene di poter fornire indicazioni generali ed astratte sull’interpretazione della disciplina applicabile, compete, comunque, all’Amministrazione comunale l’assunzione delle decisioni concrete da adottare in ordine alla successiva eventuale attività gestionale. </w:t>
      </w:r>
    </w:p>
    <w:p w:rsidR="0054064F" w:rsidRDefault="0054064F" w:rsidP="0054064F"/>
    <w:p w:rsidR="0054064F" w:rsidRDefault="0054064F" w:rsidP="0054064F">
      <w:r>
        <w:t>MERITO</w:t>
      </w:r>
    </w:p>
    <w:p w:rsidR="0054064F" w:rsidRDefault="0054064F" w:rsidP="0054064F"/>
    <w:p w:rsidR="0054064F" w:rsidRDefault="0054064F" w:rsidP="0054064F">
      <w:r>
        <w:t xml:space="preserve">Venendo al merito, posto che il quesito concerne l’interpretazione della normativa sulla copertura della spesa del servizio di trasporto scolastico in relazione all’entità delle quote di partecipazione finanziaria a carico dell’utenza, ritiene la Sezione, preliminarmente, di confermare che la giurisprudenza contabile, conformemente all’avviso espresso nella stessa richiesta di parere, appare, allo stato, consolidata nel senso di ritenere che il servizio di trasporto scolastico sia </w:t>
      </w:r>
      <w:proofErr w:type="spellStart"/>
      <w:r>
        <w:t>pleno</w:t>
      </w:r>
      <w:proofErr w:type="spellEnd"/>
      <w:r>
        <w:t xml:space="preserve"> iure un servizio pubblico di trasporto, e, come tale, escluso dalla disciplina normativa dei servizi pubblici a domanda individuale (v., Sezione Controllo Campania, </w:t>
      </w:r>
      <w:proofErr w:type="spellStart"/>
      <w:r>
        <w:t>Delib</w:t>
      </w:r>
      <w:proofErr w:type="spellEnd"/>
      <w:r>
        <w:t xml:space="preserve">. n. 222 del 2017; id., Sezione Controllo Sicilia, </w:t>
      </w:r>
      <w:proofErr w:type="spellStart"/>
      <w:r>
        <w:t>Delib</w:t>
      </w:r>
      <w:proofErr w:type="spellEnd"/>
      <w:r>
        <w:t>. n. 178 del 2018).</w:t>
      </w:r>
    </w:p>
    <w:p w:rsidR="0054064F" w:rsidRDefault="0054064F" w:rsidP="0054064F">
      <w:r>
        <w:t>Come noto, i servizi a domanda individuale trovano classificazione nel dm 31 dicembre 1983, emanato in attuazione del dl 28 febbraio 1983 n. 55, come convertito dalla legge 26 aprile 1983 n. 131.</w:t>
      </w:r>
    </w:p>
    <w:p w:rsidR="0054064F" w:rsidRDefault="0054064F" w:rsidP="0054064F">
      <w:r>
        <w:t>Detto decreto, che elenca la tipologia dei servizi suddetti, esclude espressamente, dalla categoria dei servizi a domanda individuale, quelle attività che “siano state dichiarate gratuite per legge nazionale o regionale”, provvedendo all’individuazione e, quindi, alla declaratoria specifica delle singole tipologie di attività qualificabili come servizi a domanda individuale.</w:t>
      </w:r>
    </w:p>
    <w:p w:rsidR="0054064F" w:rsidRDefault="0054064F" w:rsidP="0054064F">
      <w:r>
        <w:t>Per quanto di interesse nella presente sede, l’elenco in esame non ricomprende espressamente il servizio di trasporto scolastico, mentre, in materia di istruzione, prevede i servizi di asilo nido e corsi extrascolastici che non siano previsti come obbligatori dalla legge (</w:t>
      </w:r>
      <w:proofErr w:type="spellStart"/>
      <w:r>
        <w:t>nn</w:t>
      </w:r>
      <w:proofErr w:type="spellEnd"/>
      <w:r>
        <w:t xml:space="preserve">. 3 e 6). Più in particolare, la magistratura contabile (v., deliberazioni citate) ha evidenziato come né il Dl 55/1984, convertito dalla richiamata legge 131/1983, </w:t>
      </w:r>
      <w:r>
        <w:lastRenderedPageBreak/>
        <w:t>né il decreto 31 dicembre 1983 del Ministero dell'Interno ricomprendano tra i servizi pubblici locali a domanda individuale quello di trasporto scolastico.</w:t>
      </w:r>
    </w:p>
    <w:p w:rsidR="0054064F" w:rsidRDefault="0054064F" w:rsidP="0054064F">
      <w:r>
        <w:t>Non ritenendo di dissentire dal richiamato indirizzo interpretativo, del quale, anzi, se ne condividono le argomentazioni a sostegno, la Sezione, in occasione dello scrutinio del presente quesito, ritiene di ribadire il principio secondo cui il trasporto scolastico è un servizio pubblico, ma non potendo essere classificato tra quelli a domanda individuale,  non possono allo stesso reputarsi applicabili i conseguenti vincoli normativi e finanziari che caratterizzano i servizi pubblici a domanda individuale, espressamente individuati dal menzionato D.M. n. 131/1983.</w:t>
      </w:r>
    </w:p>
    <w:p w:rsidR="0054064F" w:rsidRDefault="0054064F" w:rsidP="0054064F">
      <w:r>
        <w:t xml:space="preserve">La natura di servizio pubblico, in quanto oggettivamente rivolto a soddisfare esigenze della collettività, comporta, pertanto, che per il trasporto scolastico siano definite dall’Ente adeguate tariffe a copertura dei costi, secondo quanto stabilito dall'articolo 117 del </w:t>
      </w:r>
      <w:proofErr w:type="spellStart"/>
      <w:r>
        <w:t>Tuel</w:t>
      </w:r>
      <w:proofErr w:type="spellEnd"/>
      <w:r>
        <w:t>.</w:t>
      </w:r>
    </w:p>
    <w:p w:rsidR="0054064F" w:rsidRDefault="0054064F" w:rsidP="0054064F">
      <w:r>
        <w:t>In effetti, per tutti i servizi pubblici, anche non definibili “a domanda individuale”, come nella specie, l’art. 117 TUEL stabilisce che:</w:t>
      </w:r>
    </w:p>
    <w:p w:rsidR="0054064F" w:rsidRDefault="0054064F" w:rsidP="0054064F">
      <w:r>
        <w:t>1. Gli enti interessati approvano le tariffe dei servizi pubblici in misura tale da assicurare l'equilibrio economico-finanziario dell'investimento e della connessa gestione. I criteri per il calcolo della tariffa relativa ai servizi stessi sono i seguenti:</w:t>
      </w:r>
    </w:p>
    <w:p w:rsidR="0054064F" w:rsidRDefault="0054064F" w:rsidP="0054064F">
      <w:r>
        <w:t>a) la corrispondenza tra costi e ricavi in modo da assicurare la integrale copertura dei costi, ivi compresi gli oneri di ammortamento tecnico-finanziario;</w:t>
      </w:r>
    </w:p>
    <w:p w:rsidR="0054064F" w:rsidRDefault="0054064F" w:rsidP="0054064F">
      <w:r>
        <w:t>b) l'equilibrato rapporto tra i finanziamenti raccolti ed il capitale investito;</w:t>
      </w:r>
    </w:p>
    <w:p w:rsidR="0054064F" w:rsidRDefault="0054064F" w:rsidP="0054064F">
      <w:r>
        <w:t>c) l'entità dei costi di gestione delle opere, tenendo conto anche degli investimenti e della qualità del servizio;</w:t>
      </w:r>
    </w:p>
    <w:p w:rsidR="0054064F" w:rsidRDefault="0054064F" w:rsidP="0054064F">
      <w:r>
        <w:t>d) l'adeguatezza della remunerazione del capitale investito, coerente con le prevalenti condizioni di mercato.</w:t>
      </w:r>
    </w:p>
    <w:p w:rsidR="0054064F" w:rsidRDefault="0054064F" w:rsidP="0054064F">
      <w:r>
        <w:t>2. La tariffa costituisce il corrispettivo dei servizi pubblici; essa è determinata e adeguata ogni anno dai soggetti proprietari, attraverso contratti di programma di durata poliennale, nel rispetto del disciplinare e dello statuto conseguenti ai modelli organizzativi prescelti.</w:t>
      </w:r>
    </w:p>
    <w:p w:rsidR="0054064F" w:rsidRDefault="0054064F" w:rsidP="0054064F">
      <w:r>
        <w:t xml:space="preserve">3. Qualora i servizi siano gestiti da soggetti diversi dall'ente pubblico per effetto di particolari convenzioni e concessioni dell'ente o per effetto del modello organizzativo di società mista, la tariffa è riscossa dal soggetto che gestisce i servizi pubblici». </w:t>
      </w:r>
    </w:p>
    <w:p w:rsidR="0054064F" w:rsidRDefault="0054064F" w:rsidP="0054064F">
      <w:r>
        <w:t>Pertanto, fermo restando che l’erogazione del servizio pubblico debba avvenire in equilibrio ai sensi dell’art. 117 TUEL – circostanza che ovviamente presuppone una efficace rappresentazione dei costi ed una copertura nel rispetto dei criteri generali di cui alla norma del Testo unico degli enti locali - l’erogazione dello stesso non solo non può essere gratuita per gli utenti ma la sua copertura deve avvenire mediante i corrispettivi versati dai richiedenti il servizio (cfr. SRC Sicilia n. 115/2015/PAR, SRC Molise n. 80/2011, SRC Campania n. 7/2010/PAR), di modo che le quote di partecipazione finanziaria, correlate al servizio e  poste a carico dell’utenza, dovranno completamente concorrere alla copertura integrale della spesa del medesimo.</w:t>
      </w:r>
    </w:p>
    <w:p w:rsidR="0054064F" w:rsidRDefault="0054064F" w:rsidP="0054064F">
      <w:r>
        <w:lastRenderedPageBreak/>
        <w:t xml:space="preserve">Detto orientamento trova assoluto ed inequivoco riscontro nella stessa giurisprudenza amministrativa, ad avviso della quale, in occasione dell’erogazione di un servizio pubblico, gli Enti “…saranno tenuti, in sede di copertura, alla stretta osservanza delle disposizioni dell’art. 117 TUEL, in particolare, del principio dell’equilibrio ex ante tra costi e risorse a copertura, principio che riguarda indistintamente tutti i servizi pubblici erogati dall’ente locale, a prescindere dalla forma contrattuale di affidamento del servizio (v., ex </w:t>
      </w:r>
      <w:proofErr w:type="spellStart"/>
      <w:r>
        <w:t>multis</w:t>
      </w:r>
      <w:proofErr w:type="spellEnd"/>
      <w:r>
        <w:t xml:space="preserve">, Consiglio di Stato, Sez. V, sentenza 3 maggio 2012 n. 2537). </w:t>
      </w:r>
    </w:p>
    <w:p w:rsidR="0054064F" w:rsidRDefault="0054064F" w:rsidP="0054064F">
      <w:r>
        <w:t>Simile interpretazione riceve pieno ed incontrovertibile conforto da ulteriori recenti arresti giurisprudenziali contabili (</w:t>
      </w:r>
      <w:proofErr w:type="spellStart"/>
      <w:r>
        <w:t>v.,Sezione</w:t>
      </w:r>
      <w:proofErr w:type="spellEnd"/>
      <w:r>
        <w:t xml:space="preserve"> regionale di controllo della Sicilia, Deliberazione n. 178/2018), che, analizzando la natura del servizio di trasporto degli alunni organizzato dai Comuni nell'ambito del diritto allo studio, hanno reso un’interpretazione conforme all’indirizzo sopra enunciato alla luce della nuova connotazione conferita dall'articolo 5, comma 2 del </w:t>
      </w:r>
      <w:proofErr w:type="spellStart"/>
      <w:r>
        <w:t>Dlgs</w:t>
      </w:r>
      <w:proofErr w:type="spellEnd"/>
      <w:r>
        <w:t xml:space="preserve"> 63/2017.</w:t>
      </w:r>
    </w:p>
    <w:p w:rsidR="0054064F" w:rsidRDefault="0054064F" w:rsidP="0054064F">
      <w:r>
        <w:t>A mente del citato disposto dell’art. 5, comma 2, del decreto legislativo 63/2017, infatti, gli enti locali “assicurano il trasporto delle alunne e degli alunni delle scuole primarie statali per consentire loro il raggiungimento della più vicina sede di erogazione del servizio scolastico. Il servizio è assicurato su istanza di parte e dietro pagamento di una quota di partecipazione diretta, senza nuovi o maggiori oneri per gli enti territoriali interessati”.</w:t>
      </w:r>
    </w:p>
    <w:p w:rsidR="0054064F" w:rsidRDefault="0054064F" w:rsidP="0054064F">
      <w:r>
        <w:t xml:space="preserve">Il D.lgs. 63/2017, secondo l’indirizzo giurisprudenziale richiamato, non solo non ha inciso nell’ambito delineato in via generale dalle menzionate disposizioni del TUEL, bensì ha introdotto una disciplina specifica, che si innesta nell'ampio perimetro disciplinato dall'articolo 112 del </w:t>
      </w:r>
      <w:proofErr w:type="spellStart"/>
      <w:r>
        <w:t>Tuel</w:t>
      </w:r>
      <w:proofErr w:type="spellEnd"/>
      <w:r>
        <w:t xml:space="preserve">, il quale attribuisce agli enti la gestione dei servizi pubblici che abbiano per oggetto la produzione di beni e delle attività rivolte a realizzare fini sociali e a promuovere lo sviluppo economico e civile delle comunità locali. </w:t>
      </w:r>
    </w:p>
    <w:p w:rsidR="0054064F" w:rsidRDefault="0054064F" w:rsidP="0054064F">
      <w:r>
        <w:t>Ma soprattutto il richiamato articolo 5 del D.lgs. 63/2017 prevede una espressa clausola di invarianza finanziaria, richiedendo che il servizio di trasporto vada realizzato “senza determinare nuovi e maggiori oneri per gli enti territoriali” e dietro pagamento di una quota di partecipazione diretta da parte dell’utenza quale corrispettivo della prestazione ricevuta.</w:t>
      </w:r>
    </w:p>
    <w:p w:rsidR="0054064F" w:rsidRDefault="0054064F" w:rsidP="0054064F">
      <w:r>
        <w:t xml:space="preserve">Deve, quindi, concludersi nel senso che, ferme restando le scelte gestionali e l'individuazione dei criteri di finanziamento demandate alla competenza dell'ente locale, il quadro normativo sopra delineato non consenta l'erogazione gratuita del servizio di trasporto pubblico scolastico, servizio che deve avere a fondamento una adeguata copertura finanziaria necessariamente riconducibile nei limiti fissati dai parametri normativi del </w:t>
      </w:r>
      <w:proofErr w:type="spellStart"/>
      <w:r>
        <w:t>Tuel</w:t>
      </w:r>
      <w:proofErr w:type="spellEnd"/>
      <w:r>
        <w:t>, alla luce della espressa previsione normativa della corresponsione della quota di partecipazione diretta da parte degli utenti, quota la quale, nel rispetto del rapporto di corrispondenza tra costi e ricavi,  non può non essere finalizzata ad assicurare l’integrale copertura dei costi del servizio.</w:t>
      </w:r>
    </w:p>
    <w:p w:rsidR="0054064F" w:rsidRDefault="0054064F" w:rsidP="0054064F"/>
    <w:p w:rsidR="0054064F" w:rsidRDefault="0054064F" w:rsidP="0054064F">
      <w:r>
        <w:t>P.Q.M.</w:t>
      </w:r>
    </w:p>
    <w:p w:rsidR="0054064F" w:rsidRDefault="0054064F" w:rsidP="0054064F">
      <w:r>
        <w:t xml:space="preserve">La Sezione regionale di controllo per il Piemonte rende il parere nei termini suindicati. </w:t>
      </w:r>
    </w:p>
    <w:p w:rsidR="0054064F" w:rsidRDefault="0054064F" w:rsidP="0054064F">
      <w:r>
        <w:t xml:space="preserve">Copia del parere sarà trasmessa a cura del Direttore della Segreteria al Consiglio delle Autonomie Locali della Regione Piemonte ed all’Amministrazione che ne ha fatto richiesta. </w:t>
      </w:r>
    </w:p>
    <w:p w:rsidR="0054064F" w:rsidRDefault="0054064F" w:rsidP="0054064F">
      <w:r>
        <w:t xml:space="preserve">Così deliberato in Torino nella camera di consiglio del 27 maggio 2019. </w:t>
      </w:r>
    </w:p>
    <w:p w:rsidR="0054064F" w:rsidRDefault="0054064F" w:rsidP="0054064F"/>
    <w:p w:rsidR="0054064F" w:rsidRDefault="0054064F" w:rsidP="0054064F"/>
    <w:p w:rsidR="0054064F" w:rsidRDefault="0054064F" w:rsidP="0054064F"/>
    <w:p w:rsidR="0054064F" w:rsidRDefault="0054064F" w:rsidP="0054064F">
      <w:r>
        <w:t>IL RELATORE</w:t>
      </w:r>
      <w:r>
        <w:tab/>
      </w:r>
      <w:r>
        <w:tab/>
      </w:r>
      <w:r>
        <w:tab/>
      </w:r>
      <w:r>
        <w:tab/>
      </w:r>
      <w:r>
        <w:tab/>
      </w:r>
      <w:r>
        <w:tab/>
        <w:t>IL PRESIDENTE</w:t>
      </w:r>
    </w:p>
    <w:p w:rsidR="0054064F" w:rsidRDefault="0054064F" w:rsidP="0054064F">
      <w:r>
        <w:t>F.to Consigliere Dott. Luigi GILI</w:t>
      </w:r>
      <w:r>
        <w:tab/>
      </w:r>
      <w:r>
        <w:tab/>
      </w:r>
      <w:r>
        <w:tab/>
      </w:r>
      <w:r>
        <w:tab/>
        <w:t>F.to Dott.ssa Maria Teresa POLITO</w:t>
      </w:r>
    </w:p>
    <w:p w:rsidR="0054064F" w:rsidRDefault="0054064F" w:rsidP="0054064F"/>
    <w:p w:rsidR="0054064F" w:rsidRDefault="0054064F" w:rsidP="0054064F"/>
    <w:p w:rsidR="0054064F" w:rsidRDefault="0054064F" w:rsidP="0054064F"/>
    <w:p w:rsidR="0054064F" w:rsidRDefault="0054064F" w:rsidP="0054064F">
      <w:r>
        <w:t>Depositato in Segreteria il 6/06/2019</w:t>
      </w:r>
    </w:p>
    <w:p w:rsidR="0054064F" w:rsidRDefault="0054064F" w:rsidP="0054064F">
      <w:r>
        <w:t>IL FUNZIONARIO PREPOSTO</w:t>
      </w:r>
    </w:p>
    <w:p w:rsidR="0054064F" w:rsidRDefault="0054064F" w:rsidP="0054064F">
      <w:r>
        <w:t xml:space="preserve">     F.to Nicola MENDOZZA</w:t>
      </w:r>
    </w:p>
    <w:p w:rsidR="0054064F" w:rsidRDefault="0054064F" w:rsidP="0054064F"/>
    <w:p w:rsidR="0054064F" w:rsidRDefault="0054064F" w:rsidP="0054064F"/>
    <w:p w:rsidR="0054064F" w:rsidRDefault="0054064F" w:rsidP="0054064F"/>
    <w:p w:rsidR="0054064F" w:rsidRDefault="0054064F" w:rsidP="0054064F"/>
    <w:p w:rsidR="0054064F" w:rsidRDefault="0054064F" w:rsidP="0054064F"/>
    <w:p w:rsidR="0054064F" w:rsidRDefault="0054064F" w:rsidP="0054064F"/>
    <w:p w:rsidR="0054064F" w:rsidRDefault="0054064F" w:rsidP="0054064F"/>
    <w:p w:rsidR="0054064F" w:rsidRDefault="0054064F" w:rsidP="0054064F"/>
    <w:p w:rsidR="0054064F" w:rsidRDefault="0054064F" w:rsidP="0054064F"/>
    <w:p w:rsidR="0054064F" w:rsidRDefault="0054064F" w:rsidP="0054064F"/>
    <w:p w:rsidR="0054064F" w:rsidRDefault="0054064F" w:rsidP="0054064F"/>
    <w:p w:rsidR="0054064F" w:rsidRDefault="0054064F" w:rsidP="0054064F"/>
    <w:p w:rsidR="0054064F" w:rsidRDefault="0054064F" w:rsidP="0054064F"/>
    <w:p w:rsidR="0054064F" w:rsidRDefault="0054064F" w:rsidP="0054064F"/>
    <w:p w:rsidR="0054064F" w:rsidRDefault="0054064F" w:rsidP="0054064F"/>
    <w:p w:rsidR="0054064F" w:rsidRDefault="0054064F" w:rsidP="0054064F"/>
    <w:p w:rsidR="0054064F" w:rsidRDefault="0054064F" w:rsidP="0054064F"/>
    <w:p w:rsidR="0054064F" w:rsidRDefault="0054064F" w:rsidP="0054064F"/>
    <w:p w:rsidR="0054064F" w:rsidRDefault="0054064F" w:rsidP="0054064F"/>
    <w:p w:rsidR="0054064F" w:rsidRDefault="0054064F" w:rsidP="0054064F"/>
    <w:p w:rsidR="0054064F" w:rsidRDefault="0054064F" w:rsidP="0054064F"/>
    <w:p w:rsidR="0054064F" w:rsidRDefault="0054064F" w:rsidP="0054064F"/>
    <w:p w:rsidR="001B4B97" w:rsidRDefault="0054064F">
      <w:bookmarkStart w:id="0" w:name="_GoBack"/>
      <w:bookmarkEnd w:id="0"/>
    </w:p>
    <w:sectPr w:rsidR="001B4B97">
      <w:pgSz w:w="11906" w:h="16838"/>
      <w:pgMar w:top="1417" w:right="1134"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defaultTabStop w:val="708"/>
  <w:hyphenationZone w:val="283"/>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C3302"/>
    <w:rsid w:val="00245D92"/>
    <w:rsid w:val="003C3302"/>
    <w:rsid w:val="0054064F"/>
    <w:rsid w:val="009D5E0D"/>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it-IT"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it-IT"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8</Pages>
  <Words>2689</Words>
  <Characters>15329</Characters>
  <Application>Microsoft Office Word</Application>
  <DocSecurity>0</DocSecurity>
  <Lines>127</Lines>
  <Paragraphs>35</Paragraphs>
  <ScaleCrop>false</ScaleCrop>
  <Company>Centro Studi Enti Locali</Company>
  <LinksUpToDate>false</LinksUpToDate>
  <CharactersWithSpaces>17983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Carolina</dc:creator>
  <cp:keywords/>
  <dc:description/>
  <cp:lastModifiedBy>Carolina</cp:lastModifiedBy>
  <cp:revision>2</cp:revision>
  <dcterms:created xsi:type="dcterms:W3CDTF">2019-06-11T08:51:00Z</dcterms:created>
  <dcterms:modified xsi:type="dcterms:W3CDTF">2019-06-11T08:51:00Z</dcterms:modified>
</cp:coreProperties>
</file>