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DD7AE" w14:textId="77777777" w:rsidR="007D23D3" w:rsidRPr="007D23D3" w:rsidRDefault="007D23D3" w:rsidP="007D23D3">
      <w:pPr>
        <w:spacing w:after="0" w:line="240" w:lineRule="auto"/>
        <w:contextualSpacing/>
        <w:jc w:val="center"/>
        <w:outlineLvl w:val="1"/>
        <w:rPr>
          <w:rFonts w:ascii="Garamond" w:eastAsia="Calibri" w:hAnsi="Garamond" w:cs="Calibri"/>
          <w:b/>
          <w:bCs/>
          <w:sz w:val="32"/>
          <w:szCs w:val="32"/>
          <w:lang w:eastAsia="it-IT"/>
        </w:rPr>
      </w:pPr>
      <w:bookmarkStart w:id="0" w:name="_Toc167977862"/>
      <w:r w:rsidRPr="007D23D3">
        <w:rPr>
          <w:rFonts w:ascii="Garamond" w:eastAsia="Calibri" w:hAnsi="Garamond" w:cs="Calibri"/>
          <w:b/>
          <w:bCs/>
          <w:sz w:val="32"/>
          <w:szCs w:val="32"/>
          <w:lang w:eastAsia="it-IT"/>
        </w:rPr>
        <w:t xml:space="preserve">Delibera ricognitiva dei fondi non nativi </w:t>
      </w:r>
      <w:proofErr w:type="spellStart"/>
      <w:r w:rsidRPr="007D23D3">
        <w:rPr>
          <w:rFonts w:ascii="Garamond" w:eastAsia="Calibri" w:hAnsi="Garamond" w:cs="Calibri"/>
          <w:b/>
          <w:bCs/>
          <w:sz w:val="32"/>
          <w:szCs w:val="32"/>
          <w:lang w:eastAsia="it-IT"/>
        </w:rPr>
        <w:t>Pnrr</w:t>
      </w:r>
      <w:bookmarkEnd w:id="0"/>
      <w:proofErr w:type="spellEnd"/>
    </w:p>
    <w:p w14:paraId="06781AB6" w14:textId="77777777" w:rsidR="007D23D3" w:rsidRPr="007D23D3" w:rsidRDefault="007D23D3" w:rsidP="007D23D3">
      <w:pPr>
        <w:shd w:val="clear" w:color="auto" w:fill="FFFFFF"/>
        <w:spacing w:after="0" w:line="240" w:lineRule="auto"/>
        <w:jc w:val="both"/>
        <w:rPr>
          <w:rFonts w:ascii="Garamond" w:eastAsia="Times New Roman" w:hAnsi="Garamond" w:cs="Segoe UI"/>
          <w:b/>
          <w:bCs/>
          <w:color w:val="000000"/>
          <w:sz w:val="24"/>
          <w:szCs w:val="24"/>
          <w:bdr w:val="none" w:sz="0" w:space="0" w:color="auto" w:frame="1"/>
          <w:lang w:eastAsia="it-IT"/>
        </w:rPr>
      </w:pPr>
    </w:p>
    <w:p w14:paraId="48A56C31" w14:textId="77777777" w:rsidR="007D23D3" w:rsidRPr="007D23D3" w:rsidRDefault="007D23D3" w:rsidP="007D23D3">
      <w:pPr>
        <w:shd w:val="clear" w:color="auto" w:fill="FFFFFF"/>
        <w:spacing w:after="0" w:line="240" w:lineRule="auto"/>
        <w:jc w:val="both"/>
        <w:rPr>
          <w:rFonts w:ascii="Garamond" w:eastAsia="Times New Roman" w:hAnsi="Garamond" w:cs="Segoe UI"/>
          <w:b/>
          <w:bCs/>
          <w:color w:val="000000"/>
          <w:sz w:val="24"/>
          <w:szCs w:val="24"/>
          <w:bdr w:val="none" w:sz="0" w:space="0" w:color="auto" w:frame="1"/>
          <w:lang w:eastAsia="it-IT"/>
        </w:rPr>
      </w:pPr>
      <w:r w:rsidRPr="007D23D3">
        <w:rPr>
          <w:rFonts w:ascii="Garamond" w:eastAsia="Times New Roman" w:hAnsi="Garamond" w:cs="Segoe UI"/>
          <w:b/>
          <w:bCs/>
          <w:color w:val="000000"/>
          <w:sz w:val="24"/>
          <w:szCs w:val="24"/>
          <w:bdr w:val="none" w:sz="0" w:space="0" w:color="auto" w:frame="1"/>
          <w:lang w:eastAsia="it-IT"/>
        </w:rPr>
        <w:t>F&amp;A n. 5/2024</w:t>
      </w:r>
    </w:p>
    <w:p w14:paraId="0D3476DC" w14:textId="77777777" w:rsidR="007D23D3" w:rsidRPr="007D23D3" w:rsidRDefault="007D23D3" w:rsidP="007D23D3">
      <w:pPr>
        <w:shd w:val="clear" w:color="auto" w:fill="FFFFFF"/>
        <w:spacing w:after="0" w:line="240" w:lineRule="auto"/>
        <w:jc w:val="both"/>
        <w:rPr>
          <w:rFonts w:ascii="Segoe UI" w:eastAsia="Times New Roman" w:hAnsi="Segoe UI" w:cs="Segoe UI"/>
          <w:color w:val="242424"/>
          <w:sz w:val="24"/>
          <w:szCs w:val="24"/>
          <w:lang w:eastAsia="it-IT"/>
        </w:rPr>
      </w:pPr>
      <w:r w:rsidRPr="007D23D3">
        <w:rPr>
          <w:rFonts w:ascii="Garamond" w:eastAsia="Times New Roman" w:hAnsi="Garamond" w:cs="Segoe UI"/>
          <w:b/>
          <w:bCs/>
          <w:color w:val="000000"/>
          <w:sz w:val="24"/>
          <w:szCs w:val="24"/>
          <w:bdr w:val="none" w:sz="0" w:space="0" w:color="auto" w:frame="1"/>
          <w:lang w:eastAsia="it-IT"/>
        </w:rPr>
        <w:t>Corte dei conti Lombardia, Delibera n. 74 del 12 marzo 2024</w:t>
      </w:r>
    </w:p>
    <w:p w14:paraId="30C08E58" w14:textId="77777777" w:rsidR="007D23D3" w:rsidRPr="007D23D3" w:rsidRDefault="007D23D3" w:rsidP="007D23D3">
      <w:pPr>
        <w:shd w:val="clear" w:color="auto" w:fill="FFFFFF"/>
        <w:spacing w:after="0" w:line="240" w:lineRule="auto"/>
        <w:jc w:val="both"/>
        <w:rPr>
          <w:rFonts w:ascii="Garamond" w:eastAsia="Times New Roman" w:hAnsi="Garamond" w:cs="Segoe UI"/>
          <w:color w:val="000000"/>
          <w:sz w:val="24"/>
          <w:szCs w:val="24"/>
          <w:bdr w:val="none" w:sz="0" w:space="0" w:color="auto" w:frame="1"/>
          <w:lang w:eastAsia="it-IT"/>
        </w:rPr>
      </w:pPr>
      <w:r w:rsidRPr="007D23D3">
        <w:rPr>
          <w:rFonts w:ascii="Garamond" w:eastAsia="Times New Roman" w:hAnsi="Garamond" w:cs="Segoe UI"/>
          <w:color w:val="000000"/>
          <w:sz w:val="24"/>
          <w:szCs w:val="24"/>
          <w:bdr w:val="none" w:sz="0" w:space="0" w:color="auto" w:frame="1"/>
          <w:lang w:eastAsia="it-IT"/>
        </w:rPr>
        <w:t>Nel caso in analisi, la Sezione si esprime sulla mancata adozione della Deliberazione di ricognizione dei fondi non nativi “</w:t>
      </w:r>
      <w:proofErr w:type="spellStart"/>
      <w:r w:rsidRPr="007D23D3">
        <w:rPr>
          <w:rFonts w:ascii="Garamond" w:eastAsia="Times New Roman" w:hAnsi="Garamond" w:cs="Segoe UI"/>
          <w:i/>
          <w:iCs/>
          <w:color w:val="000000"/>
          <w:sz w:val="24"/>
          <w:szCs w:val="24"/>
          <w:bdr w:val="none" w:sz="0" w:space="0" w:color="auto" w:frame="1"/>
          <w:lang w:eastAsia="it-IT"/>
        </w:rPr>
        <w:t>Pnrr</w:t>
      </w:r>
      <w:proofErr w:type="spellEnd"/>
      <w:r w:rsidRPr="007D23D3">
        <w:rPr>
          <w:rFonts w:ascii="Garamond" w:eastAsia="Times New Roman" w:hAnsi="Garamond" w:cs="Segoe UI"/>
          <w:color w:val="000000"/>
          <w:sz w:val="24"/>
          <w:szCs w:val="24"/>
          <w:bdr w:val="none" w:sz="0" w:space="0" w:color="auto" w:frame="1"/>
          <w:lang w:eastAsia="it-IT"/>
        </w:rPr>
        <w:t>”. La Sezione sottolinea che gli investimenti “</w:t>
      </w:r>
      <w:r w:rsidRPr="007D23D3">
        <w:rPr>
          <w:rFonts w:ascii="Garamond" w:eastAsia="Times New Roman" w:hAnsi="Garamond" w:cs="Segoe UI"/>
          <w:i/>
          <w:iCs/>
          <w:color w:val="000000"/>
          <w:sz w:val="24"/>
          <w:szCs w:val="24"/>
          <w:bdr w:val="none" w:sz="0" w:space="0" w:color="auto" w:frame="1"/>
          <w:lang w:eastAsia="it-IT"/>
        </w:rPr>
        <w:t xml:space="preserve">non nativi </w:t>
      </w:r>
      <w:proofErr w:type="spellStart"/>
      <w:r w:rsidRPr="007D23D3">
        <w:rPr>
          <w:rFonts w:ascii="Garamond" w:eastAsia="Times New Roman" w:hAnsi="Garamond" w:cs="Segoe UI"/>
          <w:i/>
          <w:iCs/>
          <w:color w:val="000000"/>
          <w:sz w:val="24"/>
          <w:szCs w:val="24"/>
          <w:bdr w:val="none" w:sz="0" w:space="0" w:color="auto" w:frame="1"/>
          <w:lang w:eastAsia="it-IT"/>
        </w:rPr>
        <w:t>P</w:t>
      </w:r>
      <w:r w:rsidRPr="007D23D3">
        <w:rPr>
          <w:rFonts w:ascii="Garamond" w:eastAsia="Times New Roman" w:hAnsi="Garamond" w:cs="Segoe UI"/>
          <w:i/>
          <w:iCs/>
          <w:color w:val="242424"/>
          <w:sz w:val="24"/>
          <w:szCs w:val="24"/>
          <w:bdr w:val="none" w:sz="0" w:space="0" w:color="auto" w:frame="1"/>
          <w:lang w:eastAsia="it-IT"/>
        </w:rPr>
        <w:t>nrr</w:t>
      </w:r>
      <w:proofErr w:type="spellEnd"/>
      <w:r w:rsidRPr="007D23D3">
        <w:rPr>
          <w:rFonts w:ascii="Garamond" w:eastAsia="Times New Roman" w:hAnsi="Garamond" w:cs="Segoe UI"/>
          <w:color w:val="000000"/>
          <w:sz w:val="24"/>
          <w:szCs w:val="24"/>
          <w:bdr w:val="none" w:sz="0" w:space="0" w:color="auto" w:frame="1"/>
          <w:lang w:eastAsia="it-IT"/>
        </w:rPr>
        <w:t>”, cioè, finanziati da linee confluite </w:t>
      </w:r>
      <w:r w:rsidRPr="007D23D3">
        <w:rPr>
          <w:rFonts w:ascii="Garamond" w:eastAsia="Times New Roman" w:hAnsi="Garamond" w:cs="Segoe UI"/>
          <w:i/>
          <w:iCs/>
          <w:color w:val="000000"/>
          <w:sz w:val="24"/>
          <w:szCs w:val="24"/>
          <w:bdr w:val="none" w:sz="0" w:space="0" w:color="auto" w:frame="1"/>
          <w:lang w:eastAsia="it-IT"/>
        </w:rPr>
        <w:t>ex post</w:t>
      </w:r>
      <w:r w:rsidRPr="007D23D3">
        <w:rPr>
          <w:rFonts w:ascii="Garamond" w:eastAsia="Times New Roman" w:hAnsi="Garamond" w:cs="Segoe UI"/>
          <w:color w:val="000000"/>
          <w:sz w:val="24"/>
          <w:szCs w:val="24"/>
          <w:bdr w:val="none" w:sz="0" w:space="0" w:color="auto" w:frame="1"/>
          <w:lang w:eastAsia="it-IT"/>
        </w:rPr>
        <w:t> nel “</w:t>
      </w:r>
      <w:r w:rsidRPr="007D23D3">
        <w:rPr>
          <w:rFonts w:ascii="Garamond" w:eastAsia="Times New Roman" w:hAnsi="Garamond" w:cs="Segoe UI"/>
          <w:i/>
          <w:iCs/>
          <w:color w:val="000000"/>
          <w:sz w:val="24"/>
          <w:szCs w:val="24"/>
          <w:bdr w:val="none" w:sz="0" w:space="0" w:color="auto" w:frame="1"/>
          <w:lang w:eastAsia="it-IT"/>
        </w:rPr>
        <w:t>Piano</w:t>
      </w:r>
      <w:r w:rsidRPr="007D23D3">
        <w:rPr>
          <w:rFonts w:ascii="Garamond" w:eastAsia="Times New Roman" w:hAnsi="Garamond" w:cs="Segoe UI"/>
          <w:color w:val="000000"/>
          <w:sz w:val="24"/>
          <w:szCs w:val="24"/>
          <w:bdr w:val="none" w:sz="0" w:space="0" w:color="auto" w:frame="1"/>
          <w:lang w:eastAsia="it-IT"/>
        </w:rPr>
        <w:t>”, sono soggetti alle stesse regole di rendicontazione previste per i progetti “</w:t>
      </w:r>
      <w:r w:rsidRPr="007D23D3">
        <w:rPr>
          <w:rFonts w:ascii="Garamond" w:eastAsia="Times New Roman" w:hAnsi="Garamond" w:cs="Segoe UI"/>
          <w:i/>
          <w:iCs/>
          <w:color w:val="000000"/>
          <w:sz w:val="24"/>
          <w:szCs w:val="24"/>
          <w:bdr w:val="none" w:sz="0" w:space="0" w:color="auto" w:frame="1"/>
          <w:lang w:eastAsia="it-IT"/>
        </w:rPr>
        <w:t>nativi</w:t>
      </w:r>
      <w:r w:rsidRPr="007D23D3">
        <w:rPr>
          <w:rFonts w:ascii="Garamond" w:eastAsia="Times New Roman" w:hAnsi="Garamond" w:cs="Segoe UI"/>
          <w:color w:val="000000"/>
          <w:sz w:val="24"/>
          <w:szCs w:val="24"/>
          <w:bdr w:val="none" w:sz="0" w:space="0" w:color="auto" w:frame="1"/>
          <w:lang w:eastAsia="it-IT"/>
        </w:rPr>
        <w:t xml:space="preserve">” e devono essere oggetto di specifica ricognizione da parte degli enti attuatori. </w:t>
      </w:r>
    </w:p>
    <w:p w14:paraId="66219730" w14:textId="77777777" w:rsidR="007D23D3" w:rsidRPr="007D23D3" w:rsidRDefault="007D23D3" w:rsidP="007D23D3">
      <w:pPr>
        <w:shd w:val="clear" w:color="auto" w:fill="FFFFFF"/>
        <w:spacing w:after="0" w:line="240" w:lineRule="auto"/>
        <w:jc w:val="both"/>
        <w:rPr>
          <w:rFonts w:ascii="Segoe UI" w:eastAsia="Times New Roman" w:hAnsi="Segoe UI" w:cs="Segoe UI"/>
          <w:color w:val="242424"/>
          <w:sz w:val="24"/>
          <w:szCs w:val="24"/>
          <w:lang w:eastAsia="it-IT"/>
        </w:rPr>
      </w:pPr>
      <w:r w:rsidRPr="007D23D3">
        <w:rPr>
          <w:rFonts w:ascii="Garamond" w:eastAsia="Times New Roman" w:hAnsi="Garamond" w:cs="Segoe UI"/>
          <w:color w:val="000000"/>
          <w:sz w:val="24"/>
          <w:szCs w:val="24"/>
          <w:bdr w:val="none" w:sz="0" w:space="0" w:color="auto" w:frame="1"/>
          <w:lang w:eastAsia="it-IT"/>
        </w:rPr>
        <w:t xml:space="preserve">Nel Manuale delle procedure finanziarie degli interventi </w:t>
      </w:r>
      <w:proofErr w:type="spellStart"/>
      <w:r w:rsidRPr="007D23D3">
        <w:rPr>
          <w:rFonts w:ascii="Garamond" w:eastAsia="Times New Roman" w:hAnsi="Garamond" w:cs="Segoe UI"/>
          <w:color w:val="000000"/>
          <w:sz w:val="24"/>
          <w:szCs w:val="24"/>
          <w:bdr w:val="none" w:sz="0" w:space="0" w:color="auto" w:frame="1"/>
          <w:lang w:eastAsia="it-IT"/>
        </w:rPr>
        <w:t>Pnrr</w:t>
      </w:r>
      <w:proofErr w:type="spellEnd"/>
      <w:r w:rsidRPr="007D23D3">
        <w:rPr>
          <w:rFonts w:ascii="Garamond" w:eastAsia="Times New Roman" w:hAnsi="Garamond" w:cs="Segoe UI"/>
          <w:color w:val="000000"/>
          <w:sz w:val="24"/>
          <w:szCs w:val="24"/>
          <w:bdr w:val="none" w:sz="0" w:space="0" w:color="auto" w:frame="1"/>
          <w:lang w:eastAsia="it-IT"/>
        </w:rPr>
        <w:t xml:space="preserve">, allegato alla Circolare </w:t>
      </w:r>
      <w:proofErr w:type="spellStart"/>
      <w:r w:rsidRPr="007D23D3">
        <w:rPr>
          <w:rFonts w:ascii="Garamond" w:eastAsia="Times New Roman" w:hAnsi="Garamond" w:cs="Segoe UI"/>
          <w:color w:val="000000"/>
          <w:sz w:val="24"/>
          <w:szCs w:val="24"/>
          <w:bdr w:val="none" w:sz="0" w:space="0" w:color="auto" w:frame="1"/>
          <w:lang w:eastAsia="it-IT"/>
        </w:rPr>
        <w:t>M</w:t>
      </w:r>
      <w:r w:rsidRPr="007D23D3">
        <w:rPr>
          <w:rFonts w:ascii="Garamond" w:eastAsia="Times New Roman" w:hAnsi="Garamond" w:cs="Segoe UI"/>
          <w:color w:val="242424"/>
          <w:sz w:val="24"/>
          <w:szCs w:val="24"/>
          <w:bdr w:val="none" w:sz="0" w:space="0" w:color="auto" w:frame="1"/>
          <w:lang w:eastAsia="it-IT"/>
        </w:rPr>
        <w:t>ef</w:t>
      </w:r>
      <w:r w:rsidRPr="007D23D3">
        <w:rPr>
          <w:rFonts w:ascii="Garamond" w:eastAsia="Times New Roman" w:hAnsi="Garamond" w:cs="Segoe UI"/>
          <w:color w:val="000000"/>
          <w:sz w:val="24"/>
          <w:szCs w:val="24"/>
          <w:bdr w:val="none" w:sz="0" w:space="0" w:color="auto" w:frame="1"/>
          <w:lang w:eastAsia="it-IT"/>
        </w:rPr>
        <w:t>-R</w:t>
      </w:r>
      <w:r w:rsidRPr="007D23D3">
        <w:rPr>
          <w:rFonts w:ascii="Garamond" w:eastAsia="Times New Roman" w:hAnsi="Garamond" w:cs="Segoe UI"/>
          <w:color w:val="242424"/>
          <w:sz w:val="24"/>
          <w:szCs w:val="24"/>
          <w:bdr w:val="none" w:sz="0" w:space="0" w:color="auto" w:frame="1"/>
          <w:lang w:eastAsia="it-IT"/>
        </w:rPr>
        <w:t>g</w:t>
      </w:r>
      <w:r w:rsidRPr="007D23D3">
        <w:rPr>
          <w:rFonts w:ascii="Garamond" w:eastAsia="Times New Roman" w:hAnsi="Garamond" w:cs="Segoe UI"/>
          <w:color w:val="000000"/>
          <w:sz w:val="24"/>
          <w:szCs w:val="24"/>
          <w:bdr w:val="none" w:sz="0" w:space="0" w:color="auto" w:frame="1"/>
          <w:lang w:eastAsia="it-IT"/>
        </w:rPr>
        <w:t>S</w:t>
      </w:r>
      <w:proofErr w:type="spellEnd"/>
      <w:r w:rsidRPr="007D23D3">
        <w:rPr>
          <w:rFonts w:ascii="Garamond" w:eastAsia="Times New Roman" w:hAnsi="Garamond" w:cs="Segoe UI"/>
          <w:color w:val="000000"/>
          <w:sz w:val="24"/>
          <w:szCs w:val="24"/>
          <w:bdr w:val="none" w:sz="0" w:space="0" w:color="auto" w:frame="1"/>
          <w:lang w:eastAsia="it-IT"/>
        </w:rPr>
        <w:t xml:space="preserve"> n. 29/2022, </w:t>
      </w:r>
      <w:r w:rsidRPr="007D23D3">
        <w:rPr>
          <w:rFonts w:ascii="Garamond" w:eastAsia="Times New Roman" w:hAnsi="Garamond" w:cs="Segoe UI"/>
          <w:color w:val="242424"/>
          <w:sz w:val="24"/>
          <w:szCs w:val="24"/>
          <w:bdr w:val="none" w:sz="0" w:space="0" w:color="auto" w:frame="1"/>
          <w:lang w:eastAsia="it-IT"/>
        </w:rPr>
        <w:t>P</w:t>
      </w:r>
      <w:r w:rsidRPr="007D23D3">
        <w:rPr>
          <w:rFonts w:ascii="Garamond" w:eastAsia="Times New Roman" w:hAnsi="Garamond" w:cs="Segoe UI"/>
          <w:color w:val="000000"/>
          <w:sz w:val="24"/>
          <w:szCs w:val="24"/>
          <w:bdr w:val="none" w:sz="0" w:space="0" w:color="auto" w:frame="1"/>
          <w:lang w:eastAsia="it-IT"/>
        </w:rPr>
        <w:t>rot. 201590 è specificata l’opportunità di un atto formale con il quale l’Ente prenda atto che il Progetto sarà trattato come progetto “</w:t>
      </w:r>
      <w:proofErr w:type="spellStart"/>
      <w:r w:rsidRPr="007D23D3">
        <w:rPr>
          <w:rFonts w:ascii="Garamond" w:eastAsia="Times New Roman" w:hAnsi="Garamond" w:cs="Segoe UI"/>
          <w:i/>
          <w:iCs/>
          <w:color w:val="000000"/>
          <w:sz w:val="24"/>
          <w:szCs w:val="24"/>
          <w:bdr w:val="none" w:sz="0" w:space="0" w:color="auto" w:frame="1"/>
          <w:lang w:eastAsia="it-IT"/>
        </w:rPr>
        <w:t>Pnrr</w:t>
      </w:r>
      <w:proofErr w:type="spellEnd"/>
      <w:r w:rsidRPr="007D23D3">
        <w:rPr>
          <w:rFonts w:ascii="Garamond" w:eastAsia="Times New Roman" w:hAnsi="Garamond" w:cs="Segoe UI"/>
          <w:color w:val="000000"/>
          <w:sz w:val="24"/>
          <w:szCs w:val="24"/>
          <w:bdr w:val="none" w:sz="0" w:space="0" w:color="auto" w:frame="1"/>
          <w:lang w:eastAsia="it-IT"/>
        </w:rPr>
        <w:t>”, assumendosi tutti gli obblighi previsti dalla normativa per gli Enti attuatori.</w:t>
      </w:r>
    </w:p>
    <w:p w14:paraId="31B208BF" w14:textId="77777777" w:rsidR="007D23D3" w:rsidRPr="007D23D3" w:rsidRDefault="007D23D3" w:rsidP="007D23D3">
      <w:pPr>
        <w:shd w:val="clear" w:color="auto" w:fill="FFFFFF"/>
        <w:spacing w:after="0" w:line="240" w:lineRule="auto"/>
        <w:jc w:val="both"/>
        <w:rPr>
          <w:rFonts w:ascii="Segoe UI" w:eastAsia="Times New Roman" w:hAnsi="Segoe UI" w:cs="Segoe UI"/>
          <w:color w:val="242424"/>
          <w:sz w:val="24"/>
          <w:szCs w:val="24"/>
          <w:lang w:eastAsia="it-IT"/>
        </w:rPr>
      </w:pPr>
      <w:r w:rsidRPr="007D23D3">
        <w:rPr>
          <w:rFonts w:ascii="Garamond" w:eastAsia="Times New Roman" w:hAnsi="Garamond" w:cs="Segoe UI"/>
          <w:color w:val="000000"/>
          <w:sz w:val="24"/>
          <w:szCs w:val="24"/>
          <w:bdr w:val="none" w:sz="0" w:space="0" w:color="auto" w:frame="1"/>
          <w:lang w:eastAsia="it-IT"/>
        </w:rPr>
        <w:t>In conclusione, è affermato che è obbligatoria la Delibera di ricognizione dei fondi non nativi “</w:t>
      </w:r>
      <w:proofErr w:type="spellStart"/>
      <w:r w:rsidRPr="007D23D3">
        <w:rPr>
          <w:rFonts w:ascii="Garamond" w:eastAsia="Times New Roman" w:hAnsi="Garamond" w:cs="Segoe UI"/>
          <w:i/>
          <w:iCs/>
          <w:color w:val="000000"/>
          <w:sz w:val="24"/>
          <w:szCs w:val="24"/>
          <w:bdr w:val="none" w:sz="0" w:space="0" w:color="auto" w:frame="1"/>
          <w:lang w:eastAsia="it-IT"/>
        </w:rPr>
        <w:t>Pnrr</w:t>
      </w:r>
      <w:proofErr w:type="spellEnd"/>
      <w:r w:rsidRPr="007D23D3">
        <w:rPr>
          <w:rFonts w:ascii="Garamond" w:eastAsia="Times New Roman" w:hAnsi="Garamond" w:cs="Segoe UI"/>
          <w:color w:val="000000"/>
          <w:sz w:val="24"/>
          <w:szCs w:val="24"/>
          <w:bdr w:val="none" w:sz="0" w:space="0" w:color="auto" w:frame="1"/>
          <w:lang w:eastAsia="it-IT"/>
        </w:rPr>
        <w:t>”.</w:t>
      </w:r>
    </w:p>
    <w:p w14:paraId="160647FA" w14:textId="77777777" w:rsidR="007D23D3" w:rsidRPr="007D23D3" w:rsidRDefault="007D23D3" w:rsidP="007D23D3">
      <w:pPr>
        <w:spacing w:after="0" w:line="240" w:lineRule="auto"/>
        <w:jc w:val="center"/>
        <w:rPr>
          <w:rFonts w:ascii="Garamond" w:eastAsia="Calibri" w:hAnsi="Garamond" w:cs="Times New Roman"/>
          <w:sz w:val="24"/>
          <w:szCs w:val="24"/>
        </w:rPr>
      </w:pPr>
      <w:r w:rsidRPr="007D23D3">
        <w:rPr>
          <w:rFonts w:ascii="Garamond" w:eastAsia="Calibri" w:hAnsi="Garamond" w:cs="Times New Roman"/>
          <w:sz w:val="24"/>
          <w:szCs w:val="24"/>
        </w:rPr>
        <w:t>_______________________________________</w:t>
      </w:r>
    </w:p>
    <w:p w14:paraId="0A040B54" w14:textId="77777777" w:rsidR="007D23D3" w:rsidRPr="007D23D3" w:rsidRDefault="007D23D3" w:rsidP="007D23D3">
      <w:pPr>
        <w:shd w:val="clear" w:color="auto" w:fill="FFFFFF"/>
        <w:spacing w:after="0" w:line="240" w:lineRule="auto"/>
        <w:jc w:val="center"/>
        <w:rPr>
          <w:rFonts w:ascii="Garamond" w:eastAsia="Times New Roman" w:hAnsi="Garamond" w:cs="Segoe UI"/>
          <w:b/>
          <w:bCs/>
          <w:color w:val="000000"/>
          <w:sz w:val="24"/>
          <w:szCs w:val="24"/>
          <w:bdr w:val="none" w:sz="0" w:space="0" w:color="auto" w:frame="1"/>
          <w:lang w:eastAsia="it-IT"/>
        </w:rPr>
      </w:pPr>
    </w:p>
    <w:p w14:paraId="58335042" w14:textId="77777777" w:rsidR="007D23D3" w:rsidRPr="007D23D3" w:rsidRDefault="007D23D3" w:rsidP="007D23D3">
      <w:pPr>
        <w:spacing w:after="0" w:line="240" w:lineRule="auto"/>
        <w:contextualSpacing/>
        <w:jc w:val="center"/>
        <w:outlineLvl w:val="1"/>
        <w:rPr>
          <w:rFonts w:ascii="Garamond" w:eastAsia="Calibri" w:hAnsi="Garamond" w:cs="Calibri"/>
          <w:b/>
          <w:bCs/>
          <w:sz w:val="32"/>
          <w:szCs w:val="32"/>
          <w:lang w:eastAsia="it-IT"/>
        </w:rPr>
      </w:pPr>
      <w:bookmarkStart w:id="1" w:name="_Toc167977863"/>
      <w:r w:rsidRPr="007D23D3">
        <w:rPr>
          <w:rFonts w:ascii="Garamond" w:eastAsia="Calibri" w:hAnsi="Garamond" w:cs="Calibri"/>
          <w:b/>
          <w:bCs/>
          <w:sz w:val="32"/>
          <w:szCs w:val="32"/>
          <w:lang w:eastAsia="it-IT"/>
        </w:rPr>
        <w:t>Anticipazione di liquidità</w:t>
      </w:r>
      <w:bookmarkEnd w:id="1"/>
    </w:p>
    <w:p w14:paraId="439ADD67" w14:textId="77777777" w:rsidR="007D23D3" w:rsidRPr="007D23D3" w:rsidRDefault="007D23D3" w:rsidP="007D23D3">
      <w:pPr>
        <w:shd w:val="clear" w:color="auto" w:fill="FFFFFF"/>
        <w:spacing w:after="0" w:line="240" w:lineRule="auto"/>
        <w:rPr>
          <w:rFonts w:ascii="Segoe UI" w:eastAsia="Times New Roman" w:hAnsi="Segoe UI" w:cs="Segoe UI"/>
          <w:color w:val="242424"/>
          <w:sz w:val="24"/>
          <w:szCs w:val="24"/>
          <w:lang w:eastAsia="it-IT"/>
        </w:rPr>
      </w:pPr>
      <w:r w:rsidRPr="007D23D3">
        <w:rPr>
          <w:rFonts w:ascii="Garamond" w:eastAsia="Times New Roman" w:hAnsi="Garamond" w:cs="Segoe UI"/>
          <w:b/>
          <w:bCs/>
          <w:color w:val="000000"/>
          <w:sz w:val="24"/>
          <w:szCs w:val="24"/>
          <w:bdr w:val="none" w:sz="0" w:space="0" w:color="auto" w:frame="1"/>
          <w:lang w:eastAsia="it-IT"/>
        </w:rPr>
        <w:t> </w:t>
      </w:r>
    </w:p>
    <w:p w14:paraId="272C81B3" w14:textId="77777777" w:rsidR="007D23D3" w:rsidRPr="007D23D3" w:rsidRDefault="007D23D3" w:rsidP="007D23D3">
      <w:pPr>
        <w:shd w:val="clear" w:color="auto" w:fill="FFFFFF"/>
        <w:spacing w:after="0" w:line="240" w:lineRule="auto"/>
        <w:jc w:val="both"/>
        <w:rPr>
          <w:rFonts w:ascii="Garamond" w:eastAsia="Times New Roman" w:hAnsi="Garamond" w:cs="Segoe UI"/>
          <w:b/>
          <w:bCs/>
          <w:color w:val="000000"/>
          <w:sz w:val="24"/>
          <w:szCs w:val="24"/>
          <w:bdr w:val="none" w:sz="0" w:space="0" w:color="auto" w:frame="1"/>
          <w:lang w:eastAsia="it-IT"/>
        </w:rPr>
      </w:pPr>
      <w:r w:rsidRPr="007D23D3">
        <w:rPr>
          <w:rFonts w:ascii="Garamond" w:eastAsia="Times New Roman" w:hAnsi="Garamond" w:cs="Segoe UI"/>
          <w:b/>
          <w:bCs/>
          <w:color w:val="000000"/>
          <w:sz w:val="24"/>
          <w:szCs w:val="24"/>
          <w:bdr w:val="none" w:sz="0" w:space="0" w:color="auto" w:frame="1"/>
          <w:lang w:eastAsia="it-IT"/>
        </w:rPr>
        <w:t>F&amp;A n. 5/2024</w:t>
      </w:r>
    </w:p>
    <w:p w14:paraId="71787C3A" w14:textId="77777777" w:rsidR="007D23D3" w:rsidRPr="007D23D3" w:rsidRDefault="007D23D3" w:rsidP="007D23D3">
      <w:pPr>
        <w:shd w:val="clear" w:color="auto" w:fill="FFFFFF"/>
        <w:spacing w:after="0" w:line="240" w:lineRule="auto"/>
        <w:jc w:val="both"/>
        <w:rPr>
          <w:rFonts w:ascii="Segoe UI" w:eastAsia="Times New Roman" w:hAnsi="Segoe UI" w:cs="Segoe UI"/>
          <w:color w:val="242424"/>
          <w:sz w:val="24"/>
          <w:szCs w:val="24"/>
          <w:lang w:eastAsia="it-IT"/>
        </w:rPr>
      </w:pPr>
      <w:r w:rsidRPr="007D23D3">
        <w:rPr>
          <w:rFonts w:ascii="Garamond" w:eastAsia="Times New Roman" w:hAnsi="Garamond" w:cs="Segoe UI"/>
          <w:b/>
          <w:bCs/>
          <w:color w:val="000000"/>
          <w:sz w:val="24"/>
          <w:szCs w:val="24"/>
          <w:bdr w:val="none" w:sz="0" w:space="0" w:color="auto" w:frame="1"/>
          <w:lang w:eastAsia="it-IT"/>
        </w:rPr>
        <w:t>Corte dei conti Basilicata, Delibera n. 19 del 6 marzo 2024</w:t>
      </w:r>
    </w:p>
    <w:p w14:paraId="3642B2DC" w14:textId="77777777" w:rsidR="007D23D3" w:rsidRPr="007D23D3" w:rsidRDefault="007D23D3" w:rsidP="007D23D3">
      <w:pPr>
        <w:shd w:val="clear" w:color="auto" w:fill="FFFFFF"/>
        <w:spacing w:after="0" w:line="240" w:lineRule="auto"/>
        <w:jc w:val="both"/>
        <w:rPr>
          <w:rFonts w:ascii="Segoe UI" w:eastAsia="Times New Roman" w:hAnsi="Segoe UI" w:cs="Segoe UI"/>
          <w:color w:val="242424"/>
          <w:sz w:val="24"/>
          <w:szCs w:val="24"/>
          <w:lang w:eastAsia="it-IT"/>
        </w:rPr>
      </w:pPr>
      <w:r w:rsidRPr="007D23D3">
        <w:rPr>
          <w:rFonts w:ascii="Garamond" w:eastAsia="Times New Roman" w:hAnsi="Garamond" w:cs="Segoe UI"/>
          <w:color w:val="000000"/>
          <w:sz w:val="24"/>
          <w:szCs w:val="24"/>
          <w:bdr w:val="none" w:sz="0" w:space="0" w:color="auto" w:frame="1"/>
          <w:lang w:eastAsia="it-IT"/>
        </w:rPr>
        <w:t>Nella fattispecie in studio, la Sezione chiarisce che con l’anticipazione di liquidità si consente agli Enti territoriali di ricostituire immediatamente le risorse di cassa necessarie ad onorare, indistintamente, debiti pregressi correnti e in conto capitale per i quali avrebbero dovuto essere già previste in bilancio le idonee coperture finanziarie. Il debito verso gli originari creditori si converte in un debito pluriennale verso la Cassa depositi e prestiti, equivalente sul piano economico a quello originario, ma maggiormente sostenibile in quanto la restituzione delle somme anticipate viene diluita nel tempo in modo da riallineare, progressivamente, la cassa con la competenza.</w:t>
      </w:r>
    </w:p>
    <w:p w14:paraId="37D46A14" w14:textId="77777777" w:rsidR="007D23D3" w:rsidRPr="007D23D3" w:rsidRDefault="007D23D3" w:rsidP="007D23D3">
      <w:pPr>
        <w:shd w:val="clear" w:color="auto" w:fill="FFFFFF"/>
        <w:spacing w:after="0" w:line="240" w:lineRule="auto"/>
        <w:jc w:val="both"/>
        <w:rPr>
          <w:rFonts w:ascii="Segoe UI" w:eastAsia="Times New Roman" w:hAnsi="Segoe UI" w:cs="Segoe UI"/>
          <w:color w:val="242424"/>
          <w:sz w:val="24"/>
          <w:szCs w:val="24"/>
          <w:lang w:eastAsia="it-IT"/>
        </w:rPr>
      </w:pPr>
      <w:r w:rsidRPr="007D23D3">
        <w:rPr>
          <w:rFonts w:ascii="Garamond" w:eastAsia="Times New Roman" w:hAnsi="Garamond" w:cs="Segoe UI"/>
          <w:color w:val="000000"/>
          <w:sz w:val="24"/>
          <w:szCs w:val="24"/>
          <w:bdr w:val="none" w:sz="0" w:space="0" w:color="auto" w:frame="1"/>
          <w:lang w:eastAsia="it-IT"/>
        </w:rPr>
        <w:t>Onde evitare effetti espansivi della capacità di spesa è necessario che gli effetti dell’anticipazione sul bilancio di competenza vengano integralmente “</w:t>
      </w:r>
      <w:r w:rsidRPr="007D23D3">
        <w:rPr>
          <w:rFonts w:ascii="Garamond" w:eastAsia="Times New Roman" w:hAnsi="Garamond" w:cs="Segoe UI"/>
          <w:i/>
          <w:iCs/>
          <w:color w:val="000000"/>
          <w:sz w:val="24"/>
          <w:szCs w:val="24"/>
          <w:bdr w:val="none" w:sz="0" w:space="0" w:color="auto" w:frame="1"/>
          <w:lang w:eastAsia="it-IT"/>
        </w:rPr>
        <w:t>sterilizzati</w:t>
      </w:r>
      <w:r w:rsidRPr="007D23D3">
        <w:rPr>
          <w:rFonts w:ascii="Garamond" w:eastAsia="Times New Roman" w:hAnsi="Garamond" w:cs="Segoe UI"/>
          <w:color w:val="000000"/>
          <w:sz w:val="24"/>
          <w:szCs w:val="24"/>
          <w:bdr w:val="none" w:sz="0" w:space="0" w:color="auto" w:frame="1"/>
          <w:lang w:eastAsia="it-IT"/>
        </w:rPr>
        <w:t>” per il tempo necessario alla completa restituzione delle somme riscosse, provvedendo ad iscrivere nel Titolo di spesa riguardante il rimborso dei prestiti una posta rettificativa, avente natura meramente finanziaria, corrispondente all’importo della coeva anticipazione riscossa in entrata. Ciò impedisce qualunque utilizzo in bilancio di dette risorse per la copertura di pregressi disavanzi ovvero di spese diverse e ulteriori rispetto alla finalità tipica del pagamento dei debiti certi, liquidi ed esigibili previsti dalla legge.</w:t>
      </w:r>
    </w:p>
    <w:p w14:paraId="6AF65808" w14:textId="77777777" w:rsidR="007D23D3" w:rsidRPr="007D23D3" w:rsidRDefault="007D23D3" w:rsidP="007D23D3">
      <w:pPr>
        <w:shd w:val="clear" w:color="auto" w:fill="FFFFFF"/>
        <w:spacing w:after="0" w:line="240" w:lineRule="auto"/>
        <w:jc w:val="both"/>
        <w:rPr>
          <w:rFonts w:ascii="Segoe UI" w:eastAsia="Times New Roman" w:hAnsi="Segoe UI" w:cs="Segoe UI"/>
          <w:color w:val="242424"/>
          <w:sz w:val="24"/>
          <w:szCs w:val="24"/>
          <w:lang w:eastAsia="it-IT"/>
        </w:rPr>
      </w:pPr>
      <w:r w:rsidRPr="007D23D3">
        <w:rPr>
          <w:rFonts w:ascii="Garamond" w:eastAsia="Times New Roman" w:hAnsi="Garamond" w:cs="Segoe UI"/>
          <w:color w:val="000000"/>
          <w:sz w:val="24"/>
          <w:szCs w:val="24"/>
          <w:bdr w:val="none" w:sz="0" w:space="0" w:color="auto" w:frame="1"/>
          <w:lang w:eastAsia="it-IT"/>
        </w:rPr>
        <w:t>Gli stessi oneri relativi al rimborso della quota capitale dell’anticipazione non potranno trovare copertura nell’anticipazione di liquidità iscritta in entrata, ma dovranno essere finanziati a carico della situazione corrente del bilancio per non incorrere nel divieto di indebitamento di cui all’art. 119, comma 6, della Costituzione</w:t>
      </w:r>
      <w:r w:rsidRPr="007D23D3">
        <w:rPr>
          <w:rFonts w:ascii="Garamond" w:eastAsia="Times New Roman" w:hAnsi="Garamond" w:cs="Segoe UI"/>
          <w:color w:val="242424"/>
          <w:sz w:val="24"/>
          <w:szCs w:val="24"/>
          <w:bdr w:val="none" w:sz="0" w:space="0" w:color="auto" w:frame="1"/>
          <w:lang w:eastAsia="it-IT"/>
        </w:rPr>
        <w:t>,</w:t>
      </w:r>
      <w:r w:rsidRPr="007D23D3">
        <w:rPr>
          <w:rFonts w:ascii="Garamond" w:eastAsia="Times New Roman" w:hAnsi="Garamond" w:cs="Segoe UI"/>
          <w:color w:val="000000"/>
          <w:sz w:val="24"/>
          <w:szCs w:val="24"/>
          <w:bdr w:val="none" w:sz="0" w:space="0" w:color="auto" w:frame="1"/>
          <w:lang w:eastAsia="it-IT"/>
        </w:rPr>
        <w:t> o nella violazione degli equilibri del bilancio garantiti dall’art. 81 della Costituzione.</w:t>
      </w:r>
    </w:p>
    <w:p w14:paraId="079C11C9" w14:textId="77777777" w:rsidR="007D23D3" w:rsidRPr="007D23D3" w:rsidRDefault="007D23D3" w:rsidP="007D23D3">
      <w:pPr>
        <w:shd w:val="clear" w:color="auto" w:fill="FFFFFF"/>
        <w:spacing w:after="0" w:line="240" w:lineRule="auto"/>
        <w:jc w:val="center"/>
        <w:rPr>
          <w:rFonts w:ascii="Segoe UI" w:eastAsia="Times New Roman" w:hAnsi="Segoe UI" w:cs="Segoe UI"/>
          <w:color w:val="242424"/>
          <w:sz w:val="24"/>
          <w:szCs w:val="24"/>
          <w:lang w:eastAsia="it-IT"/>
        </w:rPr>
      </w:pPr>
      <w:r w:rsidRPr="007D23D3">
        <w:rPr>
          <w:rFonts w:ascii="Garamond" w:eastAsia="Times New Roman" w:hAnsi="Garamond" w:cs="Segoe UI"/>
          <w:color w:val="000000"/>
          <w:sz w:val="24"/>
          <w:szCs w:val="24"/>
          <w:bdr w:val="none" w:sz="0" w:space="0" w:color="auto" w:frame="1"/>
          <w:lang w:eastAsia="it-IT"/>
        </w:rPr>
        <w:t>_______________________________________</w:t>
      </w:r>
    </w:p>
    <w:p w14:paraId="09630EA2" w14:textId="77777777" w:rsidR="007D23D3" w:rsidRPr="007D23D3" w:rsidRDefault="007D23D3" w:rsidP="007D23D3">
      <w:pPr>
        <w:tabs>
          <w:tab w:val="left" w:pos="7095"/>
        </w:tabs>
        <w:spacing w:after="0" w:line="240" w:lineRule="auto"/>
        <w:jc w:val="center"/>
        <w:rPr>
          <w:rFonts w:ascii="Garamond" w:eastAsia="Calibri" w:hAnsi="Garamond" w:cs="Times New Roman"/>
          <w:b/>
          <w:bCs/>
          <w:color w:val="000000"/>
          <w:sz w:val="24"/>
          <w:szCs w:val="24"/>
        </w:rPr>
      </w:pPr>
    </w:p>
    <w:p w14:paraId="383522AF" w14:textId="77777777" w:rsidR="007D23D3" w:rsidRPr="007D23D3" w:rsidRDefault="007D23D3" w:rsidP="007D23D3">
      <w:pPr>
        <w:spacing w:after="0" w:line="240" w:lineRule="auto"/>
        <w:contextualSpacing/>
        <w:jc w:val="center"/>
        <w:outlineLvl w:val="1"/>
        <w:rPr>
          <w:rFonts w:ascii="Garamond" w:eastAsia="Calibri" w:hAnsi="Garamond" w:cs="Calibri"/>
          <w:b/>
          <w:bCs/>
          <w:sz w:val="32"/>
          <w:szCs w:val="32"/>
          <w:lang w:eastAsia="it-IT"/>
        </w:rPr>
      </w:pPr>
      <w:bookmarkStart w:id="2" w:name="_Toc167977864"/>
      <w:r w:rsidRPr="007D23D3">
        <w:rPr>
          <w:rFonts w:ascii="Garamond" w:eastAsia="Calibri" w:hAnsi="Garamond" w:cs="Calibri"/>
          <w:b/>
          <w:bCs/>
          <w:sz w:val="32"/>
          <w:szCs w:val="32"/>
          <w:lang w:eastAsia="it-IT"/>
        </w:rPr>
        <w:t>Cronoprogramma degli investimenti e “</w:t>
      </w:r>
      <w:r w:rsidRPr="007D23D3">
        <w:rPr>
          <w:rFonts w:ascii="Garamond" w:eastAsia="Calibri" w:hAnsi="Garamond" w:cs="Calibri"/>
          <w:b/>
          <w:bCs/>
          <w:i/>
          <w:iCs/>
          <w:sz w:val="32"/>
          <w:szCs w:val="32"/>
          <w:lang w:eastAsia="it-IT"/>
        </w:rPr>
        <w:t>Fondo pluriennale vincolato</w:t>
      </w:r>
      <w:r w:rsidRPr="007D23D3">
        <w:rPr>
          <w:rFonts w:ascii="Garamond" w:eastAsia="Calibri" w:hAnsi="Garamond" w:cs="Calibri"/>
          <w:b/>
          <w:bCs/>
          <w:sz w:val="32"/>
          <w:szCs w:val="32"/>
          <w:lang w:eastAsia="it-IT"/>
        </w:rPr>
        <w:t>”</w:t>
      </w:r>
      <w:bookmarkEnd w:id="2"/>
    </w:p>
    <w:p w14:paraId="69807880" w14:textId="77777777" w:rsidR="007D23D3" w:rsidRPr="007D23D3" w:rsidRDefault="007D23D3" w:rsidP="007D23D3">
      <w:pPr>
        <w:shd w:val="clear" w:color="auto" w:fill="FFFFFF"/>
        <w:spacing w:after="0" w:line="240" w:lineRule="auto"/>
        <w:jc w:val="center"/>
        <w:rPr>
          <w:rFonts w:ascii="Segoe UI" w:eastAsia="Times New Roman" w:hAnsi="Segoe UI" w:cs="Segoe UI"/>
          <w:color w:val="242424"/>
          <w:sz w:val="24"/>
          <w:szCs w:val="24"/>
          <w:lang w:eastAsia="it-IT"/>
        </w:rPr>
      </w:pPr>
      <w:r w:rsidRPr="007D23D3">
        <w:rPr>
          <w:rFonts w:ascii="Garamond" w:eastAsia="Times New Roman" w:hAnsi="Garamond" w:cs="Segoe UI"/>
          <w:b/>
          <w:bCs/>
          <w:color w:val="000000"/>
          <w:sz w:val="24"/>
          <w:szCs w:val="24"/>
          <w:bdr w:val="none" w:sz="0" w:space="0" w:color="auto" w:frame="1"/>
          <w:lang w:eastAsia="it-IT"/>
        </w:rPr>
        <w:t> </w:t>
      </w:r>
    </w:p>
    <w:p w14:paraId="009BBA0B" w14:textId="77777777" w:rsidR="007D23D3" w:rsidRPr="007D23D3" w:rsidRDefault="007D23D3" w:rsidP="007D23D3">
      <w:pPr>
        <w:shd w:val="clear" w:color="auto" w:fill="FFFFFF"/>
        <w:spacing w:after="0" w:line="240" w:lineRule="auto"/>
        <w:jc w:val="both"/>
        <w:rPr>
          <w:rFonts w:ascii="Garamond" w:eastAsia="Times New Roman" w:hAnsi="Garamond" w:cs="Segoe UI"/>
          <w:b/>
          <w:bCs/>
          <w:color w:val="000000"/>
          <w:sz w:val="24"/>
          <w:szCs w:val="24"/>
          <w:bdr w:val="none" w:sz="0" w:space="0" w:color="auto" w:frame="1"/>
          <w:lang w:eastAsia="it-IT"/>
        </w:rPr>
      </w:pPr>
      <w:r w:rsidRPr="007D23D3">
        <w:rPr>
          <w:rFonts w:ascii="Garamond" w:eastAsia="Times New Roman" w:hAnsi="Garamond" w:cs="Segoe UI"/>
          <w:b/>
          <w:bCs/>
          <w:color w:val="000000"/>
          <w:sz w:val="24"/>
          <w:szCs w:val="24"/>
          <w:bdr w:val="none" w:sz="0" w:space="0" w:color="auto" w:frame="1"/>
          <w:lang w:eastAsia="it-IT"/>
        </w:rPr>
        <w:t>F&amp;A n. 5/2024</w:t>
      </w:r>
    </w:p>
    <w:p w14:paraId="713CEEEA" w14:textId="77777777" w:rsidR="007D23D3" w:rsidRPr="007D23D3" w:rsidRDefault="007D23D3" w:rsidP="007D23D3">
      <w:pPr>
        <w:shd w:val="clear" w:color="auto" w:fill="FFFFFF"/>
        <w:spacing w:after="0" w:line="240" w:lineRule="auto"/>
        <w:jc w:val="both"/>
        <w:rPr>
          <w:rFonts w:ascii="Segoe UI" w:eastAsia="Times New Roman" w:hAnsi="Segoe UI" w:cs="Segoe UI"/>
          <w:color w:val="242424"/>
          <w:sz w:val="24"/>
          <w:szCs w:val="24"/>
          <w:lang w:eastAsia="it-IT"/>
        </w:rPr>
      </w:pPr>
      <w:r w:rsidRPr="007D23D3">
        <w:rPr>
          <w:rFonts w:ascii="Garamond" w:eastAsia="Times New Roman" w:hAnsi="Garamond" w:cs="Segoe UI"/>
          <w:b/>
          <w:bCs/>
          <w:color w:val="000000"/>
          <w:sz w:val="24"/>
          <w:szCs w:val="24"/>
          <w:bdr w:val="none" w:sz="0" w:space="0" w:color="auto" w:frame="1"/>
          <w:lang w:eastAsia="it-IT"/>
        </w:rPr>
        <w:t>Corte dei conti Abruzzo, Delibera n. 75 del 5 marzo 2024</w:t>
      </w:r>
    </w:p>
    <w:p w14:paraId="49A68CAE" w14:textId="77777777" w:rsidR="007D23D3" w:rsidRPr="007D23D3" w:rsidRDefault="007D23D3" w:rsidP="007D23D3">
      <w:pPr>
        <w:shd w:val="clear" w:color="auto" w:fill="FFFFFF"/>
        <w:spacing w:after="0" w:line="240" w:lineRule="auto"/>
        <w:jc w:val="both"/>
        <w:rPr>
          <w:rFonts w:ascii="Segoe UI" w:eastAsia="Times New Roman" w:hAnsi="Segoe UI" w:cs="Segoe UI"/>
          <w:color w:val="242424"/>
          <w:sz w:val="24"/>
          <w:szCs w:val="24"/>
          <w:lang w:eastAsia="it-IT"/>
        </w:rPr>
      </w:pPr>
      <w:r w:rsidRPr="007D23D3">
        <w:rPr>
          <w:rFonts w:ascii="Garamond" w:eastAsia="Times New Roman" w:hAnsi="Garamond" w:cs="Segoe UI"/>
          <w:color w:val="000000"/>
          <w:sz w:val="24"/>
          <w:szCs w:val="24"/>
          <w:bdr w:val="none" w:sz="0" w:space="0" w:color="auto" w:frame="1"/>
          <w:lang w:eastAsia="it-IT"/>
        </w:rPr>
        <w:t>Nella casistica in specie, la Sezione rileva che il cronoprogramma è uno strumento importante per equilibrare la diacronia tra acquisizione di risorse e il relativo impiego. La Sezione pone in evidenza la Delibera n. 2/2021 della Corte dei conti Autonomie ove viene esaltato il ruolo fondamentale della fase di programmazione e progettazione degli investimenti pubblici, e viene specificato il ruolo strategico del cronoprogramma che implica l’individuazione delle risorse finanziarie, la scomposizione del lavoro in fasi, e la determinazione dei tempi di realizzazione di ciascuna fase.</w:t>
      </w:r>
    </w:p>
    <w:p w14:paraId="156FD664" w14:textId="77777777" w:rsidR="007D23D3" w:rsidRPr="007D23D3" w:rsidRDefault="007D23D3" w:rsidP="007D23D3">
      <w:pPr>
        <w:shd w:val="clear" w:color="auto" w:fill="FFFFFF"/>
        <w:spacing w:after="0" w:line="240" w:lineRule="auto"/>
        <w:jc w:val="both"/>
        <w:rPr>
          <w:rFonts w:ascii="Segoe UI" w:eastAsia="Times New Roman" w:hAnsi="Segoe UI" w:cs="Segoe UI"/>
          <w:color w:val="242424"/>
          <w:sz w:val="24"/>
          <w:szCs w:val="24"/>
          <w:lang w:eastAsia="it-IT"/>
        </w:rPr>
      </w:pPr>
      <w:r w:rsidRPr="007D23D3">
        <w:rPr>
          <w:rFonts w:ascii="Garamond" w:eastAsia="Times New Roman" w:hAnsi="Garamond" w:cs="Segoe UI"/>
          <w:color w:val="000000"/>
          <w:sz w:val="24"/>
          <w:szCs w:val="24"/>
          <w:bdr w:val="none" w:sz="0" w:space="0" w:color="auto" w:frame="1"/>
          <w:lang w:eastAsia="it-IT"/>
        </w:rPr>
        <w:t xml:space="preserve">La componente temporale costituisce l’elemento determinante per l’efficacia del ciclo programmatico e trova uno strumento di monitoraggio nell’istituto del Fondo pluriennale vincolato il quale, a seguito della </w:t>
      </w:r>
      <w:r w:rsidRPr="007D23D3">
        <w:rPr>
          <w:rFonts w:ascii="Garamond" w:eastAsia="Times New Roman" w:hAnsi="Garamond" w:cs="Segoe UI"/>
          <w:color w:val="000000"/>
          <w:sz w:val="24"/>
          <w:szCs w:val="24"/>
          <w:bdr w:val="none" w:sz="0" w:space="0" w:color="auto" w:frame="1"/>
          <w:lang w:eastAsia="it-IT"/>
        </w:rPr>
        <w:lastRenderedPageBreak/>
        <w:t>modifica dei principi contabili operata con il Dm. 1</w:t>
      </w:r>
      <w:r w:rsidRPr="007D23D3">
        <w:rPr>
          <w:rFonts w:ascii="Garamond" w:eastAsia="Times New Roman" w:hAnsi="Garamond" w:cs="Segoe UI"/>
          <w:color w:val="242424"/>
          <w:sz w:val="24"/>
          <w:szCs w:val="24"/>
          <w:bdr w:val="none" w:sz="0" w:space="0" w:color="auto" w:frame="1"/>
          <w:lang w:eastAsia="it-IT"/>
        </w:rPr>
        <w:t>°</w:t>
      </w:r>
      <w:r w:rsidRPr="007D23D3">
        <w:rPr>
          <w:rFonts w:ascii="Garamond" w:eastAsia="Times New Roman" w:hAnsi="Garamond" w:cs="Segoe UI"/>
          <w:color w:val="000000"/>
          <w:sz w:val="24"/>
          <w:szCs w:val="24"/>
          <w:bdr w:val="none" w:sz="0" w:space="0" w:color="auto" w:frame="1"/>
          <w:lang w:eastAsia="it-IT"/>
        </w:rPr>
        <w:t> marzo 2019, viene costituito sull’intero quadro</w:t>
      </w:r>
      <w:r w:rsidRPr="007D23D3">
        <w:rPr>
          <w:rFonts w:ascii="Garamond" w:eastAsia="Times New Roman" w:hAnsi="Garamond" w:cs="Segoe UI"/>
          <w:color w:val="242424"/>
          <w:sz w:val="24"/>
          <w:szCs w:val="24"/>
          <w:bdr w:val="none" w:sz="0" w:space="0" w:color="auto" w:frame="1"/>
          <w:lang w:eastAsia="it-IT"/>
        </w:rPr>
        <w:t> </w:t>
      </w:r>
      <w:r w:rsidRPr="007D23D3">
        <w:rPr>
          <w:rFonts w:ascii="Garamond" w:eastAsia="Times New Roman" w:hAnsi="Garamond" w:cs="Segoe UI"/>
          <w:color w:val="000000"/>
          <w:sz w:val="24"/>
          <w:szCs w:val="24"/>
          <w:bdr w:val="none" w:sz="0" w:space="0" w:color="auto" w:frame="1"/>
          <w:lang w:eastAsia="it-IT"/>
        </w:rPr>
        <w:t>economico all’atto dell’avvio della fase di progettazione del livello minimo, sulla base della mera prenotazione della spesa, ma con l’obbligo di attivare gli strumenti di controllo sul rispetto dei tempi di progettazione al fine di poter confermare nel rendiconto dell’esercizio successivo le risorse nel “</w:t>
      </w:r>
      <w:proofErr w:type="spellStart"/>
      <w:r w:rsidRPr="007D23D3">
        <w:rPr>
          <w:rFonts w:ascii="Garamond" w:eastAsia="Times New Roman" w:hAnsi="Garamond" w:cs="Segoe UI"/>
          <w:i/>
          <w:iCs/>
          <w:color w:val="000000"/>
          <w:sz w:val="24"/>
          <w:szCs w:val="24"/>
          <w:bdr w:val="none" w:sz="0" w:space="0" w:color="auto" w:frame="1"/>
          <w:lang w:eastAsia="it-IT"/>
        </w:rPr>
        <w:t>F</w:t>
      </w:r>
      <w:r w:rsidRPr="007D23D3">
        <w:rPr>
          <w:rFonts w:ascii="Garamond" w:eastAsia="Times New Roman" w:hAnsi="Garamond" w:cs="Segoe UI"/>
          <w:i/>
          <w:iCs/>
          <w:color w:val="242424"/>
          <w:sz w:val="24"/>
          <w:szCs w:val="24"/>
          <w:bdr w:val="none" w:sz="0" w:space="0" w:color="auto" w:frame="1"/>
          <w:lang w:eastAsia="it-IT"/>
        </w:rPr>
        <w:t>pv</w:t>
      </w:r>
      <w:proofErr w:type="spellEnd"/>
      <w:r w:rsidRPr="007D23D3">
        <w:rPr>
          <w:rFonts w:ascii="Garamond" w:eastAsia="Times New Roman" w:hAnsi="Garamond" w:cs="Segoe UI"/>
          <w:color w:val="000000"/>
          <w:sz w:val="24"/>
          <w:szCs w:val="24"/>
          <w:bdr w:val="none" w:sz="0" w:space="0" w:color="auto" w:frame="1"/>
          <w:lang w:eastAsia="it-IT"/>
        </w:rPr>
        <w:t>” evitando di far confluire le somme in economia, con l’obbligo di iniziare nuovamente il ciclo.</w:t>
      </w:r>
    </w:p>
    <w:p w14:paraId="7E80725F" w14:textId="77777777" w:rsidR="007D23D3" w:rsidRPr="007D23D3" w:rsidRDefault="007D23D3" w:rsidP="007D23D3">
      <w:pPr>
        <w:shd w:val="clear" w:color="auto" w:fill="FFFFFF"/>
        <w:spacing w:after="0" w:line="240" w:lineRule="auto"/>
        <w:jc w:val="both"/>
        <w:rPr>
          <w:rFonts w:ascii="Segoe UI" w:eastAsia="Times New Roman" w:hAnsi="Segoe UI" w:cs="Segoe UI"/>
          <w:color w:val="242424"/>
          <w:sz w:val="24"/>
          <w:szCs w:val="24"/>
          <w:lang w:eastAsia="it-IT"/>
        </w:rPr>
      </w:pPr>
      <w:r w:rsidRPr="007D23D3">
        <w:rPr>
          <w:rFonts w:ascii="Garamond" w:eastAsia="Times New Roman" w:hAnsi="Garamond" w:cs="Segoe UI"/>
          <w:color w:val="000000"/>
          <w:sz w:val="24"/>
          <w:szCs w:val="24"/>
          <w:bdr w:val="none" w:sz="0" w:space="0" w:color="auto" w:frame="1"/>
          <w:lang w:eastAsia="it-IT"/>
        </w:rPr>
        <w:t>In pratica, pur con i complessi tecnicismi che caratterizzano il “</w:t>
      </w:r>
      <w:proofErr w:type="spellStart"/>
      <w:r w:rsidRPr="007D23D3">
        <w:rPr>
          <w:rFonts w:ascii="Garamond" w:eastAsia="Times New Roman" w:hAnsi="Garamond" w:cs="Segoe UI"/>
          <w:i/>
          <w:iCs/>
          <w:color w:val="242424"/>
          <w:sz w:val="24"/>
          <w:szCs w:val="24"/>
          <w:bdr w:val="none" w:sz="0" w:space="0" w:color="auto" w:frame="1"/>
          <w:lang w:eastAsia="it-IT"/>
        </w:rPr>
        <w:t>Fpv</w:t>
      </w:r>
      <w:proofErr w:type="spellEnd"/>
      <w:r w:rsidRPr="007D23D3">
        <w:rPr>
          <w:rFonts w:ascii="Garamond" w:eastAsia="Times New Roman" w:hAnsi="Garamond" w:cs="Segoe UI"/>
          <w:color w:val="000000"/>
          <w:sz w:val="24"/>
          <w:szCs w:val="24"/>
          <w:bdr w:val="none" w:sz="0" w:space="0" w:color="auto" w:frame="1"/>
          <w:lang w:eastAsia="it-IT"/>
        </w:rPr>
        <w:t xml:space="preserve">”, le regole contabili contengono strumenti in grado di accompagnare l’intero ciclo dell’investimento (progettazione, procedura di affidamento, contrattualizzazione, esecuzione, collaudo), monitorando il rispetto del cronoprogramma e fornendo indicazioni utili in chiave di controllo strategico e sulla </w:t>
      </w:r>
      <w:r w:rsidRPr="007D23D3">
        <w:rPr>
          <w:rFonts w:ascii="Garamond" w:eastAsia="Times New Roman" w:hAnsi="Garamond" w:cs="Segoe UI"/>
          <w:i/>
          <w:iCs/>
          <w:color w:val="000000"/>
          <w:sz w:val="24"/>
          <w:szCs w:val="24"/>
          <w:bdr w:val="none" w:sz="0" w:space="0" w:color="auto" w:frame="1"/>
          <w:lang w:eastAsia="it-IT"/>
        </w:rPr>
        <w:t>performance</w:t>
      </w:r>
      <w:r w:rsidRPr="007D23D3">
        <w:rPr>
          <w:rFonts w:ascii="Garamond" w:eastAsia="Times New Roman" w:hAnsi="Garamond" w:cs="Segoe UI"/>
          <w:color w:val="000000"/>
          <w:sz w:val="24"/>
          <w:szCs w:val="24"/>
          <w:bdr w:val="none" w:sz="0" w:space="0" w:color="auto" w:frame="1"/>
          <w:lang w:eastAsia="it-IT"/>
        </w:rPr>
        <w:t xml:space="preserve"> e per l’attivazione di misure correttive.</w:t>
      </w:r>
    </w:p>
    <w:p w14:paraId="20B0A19F" w14:textId="77777777" w:rsidR="007D23D3" w:rsidRPr="007D23D3" w:rsidRDefault="007D23D3" w:rsidP="007D23D3">
      <w:pPr>
        <w:shd w:val="clear" w:color="auto" w:fill="FFFFFF"/>
        <w:spacing w:after="0" w:line="240" w:lineRule="auto"/>
        <w:jc w:val="center"/>
        <w:rPr>
          <w:rFonts w:ascii="Segoe UI" w:eastAsia="Times New Roman" w:hAnsi="Segoe UI" w:cs="Segoe UI"/>
          <w:color w:val="242424"/>
          <w:sz w:val="24"/>
          <w:szCs w:val="24"/>
          <w:lang w:eastAsia="it-IT"/>
        </w:rPr>
      </w:pPr>
      <w:r w:rsidRPr="007D23D3">
        <w:rPr>
          <w:rFonts w:ascii="Garamond" w:eastAsia="Times New Roman" w:hAnsi="Garamond" w:cs="Segoe UI"/>
          <w:color w:val="000000"/>
          <w:sz w:val="24"/>
          <w:szCs w:val="24"/>
          <w:bdr w:val="none" w:sz="0" w:space="0" w:color="auto" w:frame="1"/>
          <w:lang w:eastAsia="it-IT"/>
        </w:rPr>
        <w:t>_______________________________________</w:t>
      </w:r>
    </w:p>
    <w:p w14:paraId="33351506" w14:textId="77777777" w:rsidR="007D23D3" w:rsidRPr="007D23D3" w:rsidRDefault="007D23D3" w:rsidP="007D23D3">
      <w:pPr>
        <w:shd w:val="clear" w:color="auto" w:fill="FFFFFF"/>
        <w:spacing w:after="0" w:line="240" w:lineRule="auto"/>
        <w:jc w:val="center"/>
        <w:rPr>
          <w:rFonts w:ascii="Garamond" w:eastAsia="Times New Roman" w:hAnsi="Garamond" w:cs="Segoe UI"/>
          <w:b/>
          <w:bCs/>
          <w:color w:val="000000"/>
          <w:sz w:val="24"/>
          <w:szCs w:val="24"/>
          <w:bdr w:val="none" w:sz="0" w:space="0" w:color="auto" w:frame="1"/>
          <w:lang w:eastAsia="it-IT"/>
        </w:rPr>
      </w:pPr>
    </w:p>
    <w:p w14:paraId="1B8C9CDA" w14:textId="77777777" w:rsidR="007D23D3" w:rsidRPr="007D23D3" w:rsidRDefault="007D23D3" w:rsidP="007D23D3">
      <w:pPr>
        <w:spacing w:after="0" w:line="240" w:lineRule="auto"/>
        <w:jc w:val="center"/>
        <w:outlineLvl w:val="1"/>
        <w:rPr>
          <w:rFonts w:ascii="Garamond" w:hAnsi="Garamond"/>
          <w:color w:val="000000" w:themeColor="text1"/>
          <w:sz w:val="32"/>
          <w:szCs w:val="32"/>
        </w:rPr>
      </w:pPr>
      <w:bookmarkStart w:id="3" w:name="_Toc168051371"/>
      <w:proofErr w:type="spellStart"/>
      <w:r w:rsidRPr="007D23D3">
        <w:rPr>
          <w:rFonts w:ascii="Garamond" w:hAnsi="Garamond"/>
          <w:b/>
          <w:bCs/>
          <w:color w:val="000000" w:themeColor="text1"/>
          <w:sz w:val="32"/>
          <w:szCs w:val="32"/>
        </w:rPr>
        <w:t>Imu</w:t>
      </w:r>
      <w:proofErr w:type="spellEnd"/>
      <w:r w:rsidRPr="007D23D3">
        <w:rPr>
          <w:rFonts w:ascii="Garamond" w:hAnsi="Garamond"/>
          <w:b/>
          <w:bCs/>
          <w:color w:val="000000" w:themeColor="text1"/>
          <w:sz w:val="32"/>
          <w:szCs w:val="32"/>
        </w:rPr>
        <w:t xml:space="preserve"> </w:t>
      </w:r>
      <w:r w:rsidRPr="007D23D3">
        <w:rPr>
          <w:rFonts w:ascii="Garamond" w:hAnsi="Garamond"/>
          <w:b/>
          <w:bCs/>
          <w:i/>
          <w:iCs/>
          <w:color w:val="000000" w:themeColor="text1"/>
          <w:sz w:val="32"/>
          <w:szCs w:val="32"/>
        </w:rPr>
        <w:t>leasing</w:t>
      </w:r>
      <w:r w:rsidRPr="007D23D3">
        <w:rPr>
          <w:rFonts w:ascii="Garamond" w:hAnsi="Garamond"/>
          <w:b/>
          <w:bCs/>
          <w:color w:val="000000" w:themeColor="text1"/>
          <w:sz w:val="32"/>
          <w:szCs w:val="32"/>
        </w:rPr>
        <w:t>: risoluzione anticipata del rapporto contrattuale</w:t>
      </w:r>
      <w:bookmarkEnd w:id="3"/>
    </w:p>
    <w:p w14:paraId="7C6A226C" w14:textId="77777777" w:rsidR="007D23D3" w:rsidRPr="007D23D3" w:rsidRDefault="007D23D3" w:rsidP="007D23D3">
      <w:pPr>
        <w:tabs>
          <w:tab w:val="left" w:pos="7095"/>
        </w:tabs>
        <w:spacing w:after="0" w:line="240" w:lineRule="auto"/>
        <w:jc w:val="both"/>
        <w:rPr>
          <w:rFonts w:ascii="Garamond" w:hAnsi="Garamond"/>
          <w:color w:val="000000" w:themeColor="text1"/>
          <w:sz w:val="24"/>
          <w:szCs w:val="24"/>
        </w:rPr>
      </w:pPr>
    </w:p>
    <w:p w14:paraId="0EB7712A" w14:textId="77777777" w:rsidR="007D23D3" w:rsidRPr="007D23D3" w:rsidRDefault="007D23D3" w:rsidP="007D23D3">
      <w:pPr>
        <w:shd w:val="clear" w:color="auto" w:fill="FFFFFF"/>
        <w:spacing w:after="0" w:line="240" w:lineRule="auto"/>
        <w:jc w:val="both"/>
        <w:rPr>
          <w:rFonts w:ascii="Garamond" w:eastAsia="Arial Unicode MS" w:hAnsi="Garamond" w:cs="Segoe UI"/>
          <w:b/>
          <w:bCs/>
          <w:color w:val="000000"/>
          <w:sz w:val="24"/>
          <w:szCs w:val="24"/>
          <w:bdr w:val="none" w:sz="0" w:space="0" w:color="auto" w:frame="1"/>
          <w:lang w:eastAsia="it-IT"/>
        </w:rPr>
      </w:pPr>
      <w:proofErr w:type="spellStart"/>
      <w:r w:rsidRPr="007D23D3">
        <w:rPr>
          <w:rFonts w:ascii="Garamond" w:eastAsia="Arial Unicode MS" w:hAnsi="Garamond" w:cs="Segoe UI"/>
          <w:b/>
          <w:bCs/>
          <w:color w:val="000000"/>
          <w:sz w:val="24"/>
          <w:szCs w:val="24"/>
          <w:bdr w:val="none" w:sz="0" w:space="0" w:color="auto" w:frame="1"/>
          <w:lang w:eastAsia="it-IT"/>
        </w:rPr>
        <w:t>Tributinews</w:t>
      </w:r>
      <w:proofErr w:type="spellEnd"/>
      <w:r w:rsidRPr="007D23D3">
        <w:rPr>
          <w:rFonts w:ascii="Garamond" w:eastAsia="Arial Unicode MS" w:hAnsi="Garamond" w:cs="Segoe UI"/>
          <w:b/>
          <w:bCs/>
          <w:color w:val="000000"/>
          <w:sz w:val="24"/>
          <w:szCs w:val="24"/>
          <w:bdr w:val="none" w:sz="0" w:space="0" w:color="auto" w:frame="1"/>
          <w:lang w:eastAsia="it-IT"/>
        </w:rPr>
        <w:t xml:space="preserve"> n. 8/2024</w:t>
      </w:r>
    </w:p>
    <w:p w14:paraId="2E7D0956" w14:textId="77777777" w:rsidR="007D23D3" w:rsidRPr="007D23D3" w:rsidRDefault="007D23D3" w:rsidP="007D23D3">
      <w:pPr>
        <w:tabs>
          <w:tab w:val="left" w:pos="7095"/>
        </w:tabs>
        <w:spacing w:after="0" w:line="240" w:lineRule="auto"/>
        <w:jc w:val="both"/>
        <w:rPr>
          <w:rFonts w:ascii="Garamond" w:hAnsi="Garamond"/>
          <w:b/>
          <w:bCs/>
          <w:color w:val="000000" w:themeColor="text1"/>
          <w:sz w:val="24"/>
          <w:szCs w:val="24"/>
        </w:rPr>
      </w:pPr>
      <w:r w:rsidRPr="007D23D3">
        <w:rPr>
          <w:rFonts w:ascii="Garamond" w:hAnsi="Garamond"/>
          <w:b/>
          <w:bCs/>
          <w:color w:val="000000" w:themeColor="text1"/>
          <w:sz w:val="24"/>
          <w:szCs w:val="24"/>
        </w:rPr>
        <w:t>Corte di Cassazione, Ordinanza n. 6232 del 7 marzo 2024</w:t>
      </w:r>
    </w:p>
    <w:p w14:paraId="0DDC011C" w14:textId="77777777" w:rsidR="007D23D3" w:rsidRPr="007D23D3" w:rsidRDefault="007D23D3" w:rsidP="007D23D3">
      <w:pPr>
        <w:tabs>
          <w:tab w:val="left" w:pos="7095"/>
        </w:tabs>
        <w:spacing w:after="0" w:line="240" w:lineRule="auto"/>
        <w:jc w:val="both"/>
        <w:rPr>
          <w:rFonts w:ascii="Garamond" w:hAnsi="Garamond"/>
          <w:color w:val="000000" w:themeColor="text1"/>
          <w:sz w:val="24"/>
          <w:szCs w:val="24"/>
        </w:rPr>
      </w:pPr>
      <w:r w:rsidRPr="007D23D3">
        <w:rPr>
          <w:rFonts w:ascii="Garamond" w:hAnsi="Garamond"/>
          <w:color w:val="000000" w:themeColor="text1"/>
          <w:sz w:val="24"/>
          <w:szCs w:val="24"/>
        </w:rPr>
        <w:t xml:space="preserve">Nella casistica in esame, viene sottoposta allo scrutinio della Suprema Corte la questione della individuazione del soggetto passivo </w:t>
      </w:r>
      <w:proofErr w:type="spellStart"/>
      <w:r w:rsidRPr="007D23D3">
        <w:rPr>
          <w:rFonts w:ascii="Garamond" w:hAnsi="Garamond"/>
          <w:color w:val="000000" w:themeColor="text1"/>
          <w:sz w:val="24"/>
          <w:szCs w:val="24"/>
        </w:rPr>
        <w:t>dell’Imu</w:t>
      </w:r>
      <w:proofErr w:type="spellEnd"/>
      <w:r w:rsidRPr="007D23D3">
        <w:rPr>
          <w:rFonts w:ascii="Garamond" w:hAnsi="Garamond"/>
          <w:color w:val="000000" w:themeColor="text1"/>
          <w:sz w:val="24"/>
          <w:szCs w:val="24"/>
        </w:rPr>
        <w:t xml:space="preserve"> relativa ad un bene immobile concesso in locazione finanziaria nell’ipotesi, tutt’altro che infrequente, di risoluzione anticipata del rapporto contrattuale per morosità dell’utilizzatore cui non faccia seguito l’immediata materiale restituzione del bene. </w:t>
      </w:r>
    </w:p>
    <w:p w14:paraId="4C2352FB" w14:textId="77777777" w:rsidR="007D23D3" w:rsidRPr="007D23D3" w:rsidRDefault="007D23D3" w:rsidP="007D23D3">
      <w:pPr>
        <w:tabs>
          <w:tab w:val="left" w:pos="7095"/>
        </w:tabs>
        <w:spacing w:after="0" w:line="240" w:lineRule="auto"/>
        <w:jc w:val="both"/>
        <w:rPr>
          <w:rFonts w:ascii="Garamond" w:hAnsi="Garamond"/>
          <w:color w:val="000000" w:themeColor="text1"/>
          <w:sz w:val="24"/>
          <w:szCs w:val="24"/>
        </w:rPr>
      </w:pPr>
      <w:r w:rsidRPr="007D23D3">
        <w:rPr>
          <w:rFonts w:ascii="Garamond" w:hAnsi="Garamond"/>
          <w:color w:val="000000" w:themeColor="text1"/>
          <w:sz w:val="24"/>
          <w:szCs w:val="24"/>
        </w:rPr>
        <w:t>Il problema che si pone è quello di stabilire se, nel periodo intercorrente tra la cessazione di efficacia del contratto e la restituzione del bene, la titolarità passiva del rapporto fiscale sorga in capo al locatore, nella qualità di soggetto che giuridicamente possiede il bene, o all’utilizzatore, che materialmente ne dispone. Nella fattispecie in esame risulta accertato che il contratto di locazione finanziaria fu risolto per morosità della Società locataria e che il bene negli anni oggetto di accertamento (2013 e 2014) non fu restituito al proprietario. Ciò premesso, va rilevato come, ai sensi dell’art. 9 del Dlgs. n. 23/2011, “</w:t>
      </w:r>
      <w:r w:rsidRPr="007D23D3">
        <w:rPr>
          <w:rFonts w:ascii="Garamond" w:hAnsi="Garamond"/>
          <w:i/>
          <w:iCs/>
          <w:color w:val="000000" w:themeColor="text1"/>
          <w:sz w:val="24"/>
          <w:szCs w:val="24"/>
        </w:rPr>
        <w:t>soggetti passivi dell'Imposta municipale propria sono il proprietario di immobili, inclusi i terreni e le aree edificabile a qualsiasi uso destinati, ivi compresi quelli strumentali o alla cui produzione o scambio è diretta l'attività dell'impresa, ovvero il titolare di diritto reale di usufrutto, uso, abitazione, enfiteusi, superficie sugli stessi. Nel caso di concessione di aree demaniali, soggetto passivo è il concessionario. Per gli immobili, anche da costruire o in corso di costruzione, concessi in locazione finanziaria soggetto passivo è il locatario a decorrere dalla data della stipula e per tutta la durata del contratto</w:t>
      </w:r>
      <w:r w:rsidRPr="007D23D3">
        <w:rPr>
          <w:rFonts w:ascii="Garamond" w:hAnsi="Garamond"/>
          <w:color w:val="000000" w:themeColor="text1"/>
          <w:sz w:val="24"/>
          <w:szCs w:val="24"/>
        </w:rPr>
        <w:t xml:space="preserve">”. </w:t>
      </w:r>
    </w:p>
    <w:p w14:paraId="02334FCA" w14:textId="77777777" w:rsidR="007D23D3" w:rsidRPr="007D23D3" w:rsidRDefault="007D23D3" w:rsidP="007D23D3">
      <w:pPr>
        <w:tabs>
          <w:tab w:val="left" w:pos="7095"/>
        </w:tabs>
        <w:spacing w:after="0" w:line="240" w:lineRule="auto"/>
        <w:jc w:val="both"/>
        <w:rPr>
          <w:rFonts w:ascii="Garamond" w:hAnsi="Garamond"/>
          <w:color w:val="000000" w:themeColor="text1"/>
          <w:sz w:val="24"/>
          <w:szCs w:val="24"/>
        </w:rPr>
      </w:pPr>
      <w:r w:rsidRPr="007D23D3">
        <w:rPr>
          <w:rFonts w:ascii="Garamond" w:hAnsi="Garamond"/>
          <w:color w:val="000000" w:themeColor="text1"/>
          <w:sz w:val="24"/>
          <w:szCs w:val="24"/>
        </w:rPr>
        <w:t xml:space="preserve">I Giudici di legittimità chiariscono che dalla data di risoluzione per inadempimento del contratto di </w:t>
      </w:r>
      <w:r w:rsidRPr="007D23D3">
        <w:rPr>
          <w:rFonts w:ascii="Garamond" w:hAnsi="Garamond"/>
          <w:i/>
          <w:iCs/>
          <w:color w:val="000000" w:themeColor="text1"/>
          <w:sz w:val="24"/>
          <w:szCs w:val="24"/>
        </w:rPr>
        <w:t>leasing</w:t>
      </w:r>
      <w:r w:rsidRPr="007D23D3">
        <w:rPr>
          <w:rFonts w:ascii="Garamond" w:hAnsi="Garamond"/>
          <w:color w:val="000000" w:themeColor="text1"/>
          <w:sz w:val="24"/>
          <w:szCs w:val="24"/>
        </w:rPr>
        <w:t xml:space="preserve"> il contratto cessa, e quindi il locatario non è più da considerarsi soggetto passivo, con la conseguente traslazione dell’obbligo di corrispondere il tributo relativo all’immobile sul proprietario (Società di </w:t>
      </w:r>
      <w:r w:rsidRPr="007D23D3">
        <w:rPr>
          <w:rFonts w:ascii="Garamond" w:hAnsi="Garamond"/>
          <w:i/>
          <w:iCs/>
          <w:color w:val="000000" w:themeColor="text1"/>
          <w:sz w:val="24"/>
          <w:szCs w:val="24"/>
        </w:rPr>
        <w:t>leasing</w:t>
      </w:r>
      <w:r w:rsidRPr="007D23D3">
        <w:rPr>
          <w:rFonts w:ascii="Garamond" w:hAnsi="Garamond"/>
          <w:color w:val="000000" w:themeColor="text1"/>
          <w:sz w:val="24"/>
          <w:szCs w:val="24"/>
        </w:rPr>
        <w:t xml:space="preserve">). In particolare, nell’alveo </w:t>
      </w:r>
      <w:proofErr w:type="spellStart"/>
      <w:r w:rsidRPr="007D23D3">
        <w:rPr>
          <w:rFonts w:ascii="Garamond" w:hAnsi="Garamond"/>
          <w:color w:val="000000" w:themeColor="text1"/>
          <w:sz w:val="24"/>
          <w:szCs w:val="24"/>
        </w:rPr>
        <w:t>Imu</w:t>
      </w:r>
      <w:proofErr w:type="spellEnd"/>
      <w:r w:rsidRPr="007D23D3">
        <w:rPr>
          <w:rFonts w:ascii="Garamond" w:hAnsi="Garamond"/>
          <w:color w:val="000000" w:themeColor="text1"/>
          <w:sz w:val="24"/>
          <w:szCs w:val="24"/>
        </w:rPr>
        <w:t xml:space="preserve"> si predilige l’esistenza di un vincolo contrattuale fondato sulla detenzione qualificata del bene da parte dell'utilizzatore che prescinde dalla detenzione materiale dello stesso. E’ il contratto a determinare la soggettività passiva del locatario e non la disponibilità del bene, quindi il venir meno dell’originario vincolo giuridico (per scadenza naturale o per risoluzione anticipata) fa venir meno la soggettività passiva in capo a quest’ultimo, determinando l’automatico passaggio della stessa in capo al locatore, con rilevanza del presupposto impositivo del possesso nella logica del pieno rispetto del principio della legalità che impone appunto una rigorosa applicazione dei presupposti d’imposta a prescindere da quanto previsto nelle varie istruzioni ministeriali. </w:t>
      </w:r>
    </w:p>
    <w:p w14:paraId="05889B61" w14:textId="77777777" w:rsidR="007D23D3" w:rsidRPr="007D23D3" w:rsidRDefault="007D23D3" w:rsidP="007D23D3">
      <w:pPr>
        <w:tabs>
          <w:tab w:val="left" w:pos="7095"/>
        </w:tabs>
        <w:spacing w:after="0" w:line="240" w:lineRule="auto"/>
        <w:jc w:val="both"/>
        <w:rPr>
          <w:rFonts w:ascii="Garamond" w:hAnsi="Garamond"/>
          <w:color w:val="000000" w:themeColor="text1"/>
          <w:sz w:val="24"/>
          <w:szCs w:val="24"/>
        </w:rPr>
      </w:pPr>
      <w:r w:rsidRPr="007D23D3">
        <w:rPr>
          <w:rFonts w:ascii="Garamond" w:hAnsi="Garamond"/>
          <w:color w:val="000000" w:themeColor="text1"/>
          <w:sz w:val="24"/>
          <w:szCs w:val="24"/>
        </w:rPr>
        <w:t xml:space="preserve">Dal chiaro dettato normativo, ne discende che con la risoluzione del contratto di </w:t>
      </w:r>
      <w:r w:rsidRPr="007D23D3">
        <w:rPr>
          <w:rFonts w:ascii="Garamond" w:hAnsi="Garamond"/>
          <w:i/>
          <w:iCs/>
          <w:color w:val="000000" w:themeColor="text1"/>
          <w:sz w:val="24"/>
          <w:szCs w:val="24"/>
        </w:rPr>
        <w:t>leasing</w:t>
      </w:r>
      <w:r w:rsidRPr="007D23D3">
        <w:rPr>
          <w:rFonts w:ascii="Garamond" w:hAnsi="Garamond"/>
          <w:color w:val="000000" w:themeColor="text1"/>
          <w:sz w:val="24"/>
          <w:szCs w:val="24"/>
        </w:rPr>
        <w:t xml:space="preserve"> la soggettività passiva ai fini </w:t>
      </w:r>
      <w:proofErr w:type="spellStart"/>
      <w:r w:rsidRPr="007D23D3">
        <w:rPr>
          <w:rFonts w:ascii="Garamond" w:hAnsi="Garamond"/>
          <w:color w:val="000000" w:themeColor="text1"/>
          <w:sz w:val="24"/>
          <w:szCs w:val="24"/>
        </w:rPr>
        <w:t>Imu</w:t>
      </w:r>
      <w:proofErr w:type="spellEnd"/>
      <w:r w:rsidRPr="007D23D3">
        <w:rPr>
          <w:rFonts w:ascii="Garamond" w:hAnsi="Garamond"/>
          <w:color w:val="000000" w:themeColor="text1"/>
          <w:sz w:val="24"/>
          <w:szCs w:val="24"/>
        </w:rPr>
        <w:t xml:space="preserve"> si determina in capo alla Società di </w:t>
      </w:r>
      <w:r w:rsidRPr="007D23D3">
        <w:rPr>
          <w:rFonts w:ascii="Garamond" w:hAnsi="Garamond"/>
          <w:i/>
          <w:iCs/>
          <w:color w:val="000000" w:themeColor="text1"/>
          <w:sz w:val="24"/>
          <w:szCs w:val="24"/>
        </w:rPr>
        <w:t>leasing</w:t>
      </w:r>
      <w:r w:rsidRPr="007D23D3">
        <w:rPr>
          <w:rFonts w:ascii="Garamond" w:hAnsi="Garamond"/>
          <w:color w:val="000000" w:themeColor="text1"/>
          <w:sz w:val="24"/>
          <w:szCs w:val="24"/>
        </w:rPr>
        <w:t xml:space="preserve">, anche se essa non ha ancora acquisito la materiale disponibilità del bene per mancata riconsegna da parte dell’utilizzatore. Ciò in quanto, il Legislatore ha ritenuto rilevante, ai fini impositivi, non già la consegna del bene e quindi la detenzione materiale dello stesso, bensì l’esistenza di un vincolo contrattuale che legittima la detenzione qualificata dell’utilizzatore. </w:t>
      </w:r>
    </w:p>
    <w:p w14:paraId="64BD850C" w14:textId="77777777" w:rsidR="007D23D3" w:rsidRPr="007D23D3" w:rsidRDefault="007D23D3" w:rsidP="007D23D3">
      <w:pPr>
        <w:tabs>
          <w:tab w:val="left" w:pos="7095"/>
        </w:tabs>
        <w:spacing w:after="0" w:line="240" w:lineRule="auto"/>
        <w:jc w:val="both"/>
        <w:rPr>
          <w:rFonts w:ascii="Garamond" w:hAnsi="Garamond"/>
          <w:color w:val="000000" w:themeColor="text1"/>
          <w:sz w:val="24"/>
          <w:szCs w:val="24"/>
        </w:rPr>
      </w:pPr>
      <w:r w:rsidRPr="007D23D3">
        <w:rPr>
          <w:rFonts w:ascii="Garamond" w:hAnsi="Garamond"/>
          <w:color w:val="000000" w:themeColor="text1"/>
          <w:sz w:val="24"/>
          <w:szCs w:val="24"/>
        </w:rPr>
        <w:t>Peraltro, la Suprema Corte pone in evidenza l’art. 1, comma 672, della Legge n. 147/2013, a tenore della quale “</w:t>
      </w:r>
      <w:r w:rsidRPr="007D23D3">
        <w:rPr>
          <w:rFonts w:ascii="Garamond" w:hAnsi="Garamond"/>
          <w:i/>
          <w:iCs/>
          <w:color w:val="000000" w:themeColor="text1"/>
          <w:sz w:val="24"/>
          <w:szCs w:val="24"/>
        </w:rPr>
        <w:t>in caso di locazione finanziaria, la Tasi è dovuta dal locatario a decorrere dalla data di stipulazione e per tutta la durata del contratto, per durata del contratto di locazione finanziaria deve intendersi il periodo intercorrente dalla data della stipulazione alla data di riconsegna del bene al locatore comprovata dal verbale di consegna</w:t>
      </w:r>
      <w:r w:rsidRPr="007D23D3">
        <w:rPr>
          <w:rFonts w:ascii="Garamond" w:hAnsi="Garamond"/>
          <w:color w:val="000000" w:themeColor="text1"/>
          <w:sz w:val="24"/>
          <w:szCs w:val="24"/>
        </w:rPr>
        <w:t xml:space="preserve">”. Tale norma, applicabile </w:t>
      </w:r>
      <w:r w:rsidRPr="007D23D3">
        <w:rPr>
          <w:rFonts w:ascii="Garamond" w:hAnsi="Garamond"/>
          <w:color w:val="000000" w:themeColor="text1"/>
          <w:sz w:val="24"/>
          <w:szCs w:val="24"/>
        </w:rPr>
        <w:lastRenderedPageBreak/>
        <w:t xml:space="preserve">limitatamente al tributo Tasi, non può essere analogicamente estesa anche </w:t>
      </w:r>
      <w:proofErr w:type="spellStart"/>
      <w:r w:rsidRPr="007D23D3">
        <w:rPr>
          <w:rFonts w:ascii="Garamond" w:hAnsi="Garamond"/>
          <w:color w:val="000000" w:themeColor="text1"/>
          <w:sz w:val="24"/>
          <w:szCs w:val="24"/>
        </w:rPr>
        <w:t>all’Imu</w:t>
      </w:r>
      <w:proofErr w:type="spellEnd"/>
      <w:r w:rsidRPr="007D23D3">
        <w:rPr>
          <w:rFonts w:ascii="Garamond" w:hAnsi="Garamond"/>
          <w:color w:val="000000" w:themeColor="text1"/>
          <w:sz w:val="24"/>
          <w:szCs w:val="24"/>
        </w:rPr>
        <w:t>, in primo luogo, perché il comma 703 della stessa Legge precisa che “</w:t>
      </w:r>
      <w:r w:rsidRPr="007D23D3">
        <w:rPr>
          <w:rFonts w:ascii="Garamond" w:hAnsi="Garamond"/>
          <w:i/>
          <w:iCs/>
          <w:color w:val="000000" w:themeColor="text1"/>
          <w:sz w:val="24"/>
          <w:szCs w:val="24"/>
        </w:rPr>
        <w:t>l’istituzione dell’</w:t>
      </w:r>
      <w:proofErr w:type="spellStart"/>
      <w:r w:rsidRPr="007D23D3">
        <w:rPr>
          <w:rFonts w:ascii="Garamond" w:hAnsi="Garamond"/>
          <w:i/>
          <w:iCs/>
          <w:color w:val="000000" w:themeColor="text1"/>
          <w:sz w:val="24"/>
          <w:szCs w:val="24"/>
        </w:rPr>
        <w:t>Iuc</w:t>
      </w:r>
      <w:proofErr w:type="spellEnd"/>
      <w:r w:rsidRPr="007D23D3">
        <w:rPr>
          <w:rFonts w:ascii="Garamond" w:hAnsi="Garamond"/>
          <w:i/>
          <w:iCs/>
          <w:color w:val="000000" w:themeColor="text1"/>
          <w:sz w:val="24"/>
          <w:szCs w:val="24"/>
        </w:rPr>
        <w:t xml:space="preserve"> (della quale la Tasi è una componente) lascia salva la disciplina per l’applicazione </w:t>
      </w:r>
      <w:proofErr w:type="spellStart"/>
      <w:r w:rsidRPr="007D23D3">
        <w:rPr>
          <w:rFonts w:ascii="Garamond" w:hAnsi="Garamond"/>
          <w:i/>
          <w:iCs/>
          <w:color w:val="000000" w:themeColor="text1"/>
          <w:sz w:val="24"/>
          <w:szCs w:val="24"/>
        </w:rPr>
        <w:t>dell’Imu</w:t>
      </w:r>
      <w:proofErr w:type="spellEnd"/>
      <w:r w:rsidRPr="007D23D3">
        <w:rPr>
          <w:rFonts w:ascii="Garamond" w:hAnsi="Garamond"/>
          <w:color w:val="000000" w:themeColor="text1"/>
          <w:sz w:val="24"/>
          <w:szCs w:val="24"/>
        </w:rPr>
        <w:t xml:space="preserve">” e, in secondo luogo, per l’eterogeneità dei rispettivi presupposti applicativi delle imposte in esame (se si fa eccezione per la coincidenza delle basi imponibili). </w:t>
      </w:r>
      <w:proofErr w:type="spellStart"/>
      <w:r w:rsidRPr="007D23D3">
        <w:rPr>
          <w:rFonts w:ascii="Garamond" w:hAnsi="Garamond"/>
          <w:color w:val="000000" w:themeColor="text1"/>
          <w:sz w:val="24"/>
          <w:szCs w:val="24"/>
        </w:rPr>
        <w:t>L’Imu</w:t>
      </w:r>
      <w:proofErr w:type="spellEnd"/>
      <w:r w:rsidRPr="007D23D3">
        <w:rPr>
          <w:rFonts w:ascii="Garamond" w:hAnsi="Garamond"/>
          <w:color w:val="000000" w:themeColor="text1"/>
          <w:sz w:val="24"/>
          <w:szCs w:val="24"/>
        </w:rPr>
        <w:t>, imposta di natura prettamente patrimoniale, ha riguardo, nell’individuare il soggetto passivo, ad una nozione di “</w:t>
      </w:r>
      <w:r w:rsidRPr="007D23D3">
        <w:rPr>
          <w:rFonts w:ascii="Garamond" w:hAnsi="Garamond"/>
          <w:i/>
          <w:iCs/>
          <w:color w:val="000000" w:themeColor="text1"/>
          <w:sz w:val="24"/>
          <w:szCs w:val="24"/>
        </w:rPr>
        <w:t>possesso</w:t>
      </w:r>
      <w:r w:rsidRPr="007D23D3">
        <w:rPr>
          <w:rFonts w:ascii="Garamond" w:hAnsi="Garamond"/>
          <w:color w:val="000000" w:themeColor="text1"/>
          <w:sz w:val="24"/>
          <w:szCs w:val="24"/>
        </w:rPr>
        <w:t xml:space="preserve">” civilistica, per cui quello che conta è il titolo che giustifica il possesso del bene (proprietà, diritto reale di godimento, contratto di </w:t>
      </w:r>
      <w:r w:rsidRPr="007D23D3">
        <w:rPr>
          <w:rFonts w:ascii="Garamond" w:hAnsi="Garamond"/>
          <w:i/>
          <w:iCs/>
          <w:color w:val="000000" w:themeColor="text1"/>
          <w:sz w:val="24"/>
          <w:szCs w:val="24"/>
        </w:rPr>
        <w:t>leasing</w:t>
      </w:r>
      <w:r w:rsidRPr="007D23D3">
        <w:rPr>
          <w:rFonts w:ascii="Garamond" w:hAnsi="Garamond"/>
          <w:color w:val="000000" w:themeColor="text1"/>
          <w:sz w:val="24"/>
          <w:szCs w:val="24"/>
        </w:rPr>
        <w:t xml:space="preserve"> vigente) e non la disponibilità di fatto dello stesso. A conferma di ciò l’art. 9 sopracitato (Dlgs. n. 23/2011) stabilisce la titolarità passiva dell’imposta in capo al locatario anche nel caso di beni “</w:t>
      </w:r>
      <w:r w:rsidRPr="007D23D3">
        <w:rPr>
          <w:rFonts w:ascii="Garamond" w:hAnsi="Garamond"/>
          <w:i/>
          <w:iCs/>
          <w:color w:val="000000" w:themeColor="text1"/>
          <w:sz w:val="24"/>
          <w:szCs w:val="24"/>
        </w:rPr>
        <w:t>non costruiti</w:t>
      </w:r>
      <w:r w:rsidRPr="007D23D3">
        <w:rPr>
          <w:rFonts w:ascii="Garamond" w:hAnsi="Garamond"/>
          <w:color w:val="000000" w:themeColor="text1"/>
          <w:sz w:val="24"/>
          <w:szCs w:val="24"/>
        </w:rPr>
        <w:t>” o “</w:t>
      </w:r>
      <w:r w:rsidRPr="007D23D3">
        <w:rPr>
          <w:rFonts w:ascii="Garamond" w:hAnsi="Garamond"/>
          <w:i/>
          <w:iCs/>
          <w:color w:val="000000" w:themeColor="text1"/>
          <w:sz w:val="24"/>
          <w:szCs w:val="24"/>
        </w:rPr>
        <w:t>in corso di costruzione</w:t>
      </w:r>
      <w:r w:rsidRPr="007D23D3">
        <w:rPr>
          <w:rFonts w:ascii="Garamond" w:hAnsi="Garamond"/>
          <w:color w:val="000000" w:themeColor="text1"/>
          <w:sz w:val="24"/>
          <w:szCs w:val="24"/>
        </w:rPr>
        <w:t xml:space="preserve">” che, come tali, non possono essere detenuti. In tale ipotesi la stipula del contratto, e non la materiale consegna del bene, rileva ad individuare il soggetto obbligato al pagamento dell’imposta. </w:t>
      </w:r>
    </w:p>
    <w:p w14:paraId="55A5FFA8" w14:textId="77777777" w:rsidR="007D23D3" w:rsidRPr="007D23D3" w:rsidRDefault="007D23D3" w:rsidP="007D23D3">
      <w:pPr>
        <w:tabs>
          <w:tab w:val="left" w:pos="7095"/>
        </w:tabs>
        <w:spacing w:after="0" w:line="240" w:lineRule="auto"/>
        <w:jc w:val="both"/>
        <w:rPr>
          <w:rFonts w:ascii="Garamond" w:hAnsi="Garamond"/>
          <w:color w:val="000000" w:themeColor="text1"/>
          <w:sz w:val="24"/>
          <w:szCs w:val="24"/>
        </w:rPr>
      </w:pPr>
      <w:r w:rsidRPr="007D23D3">
        <w:rPr>
          <w:rFonts w:ascii="Garamond" w:hAnsi="Garamond"/>
          <w:color w:val="000000" w:themeColor="text1"/>
          <w:sz w:val="24"/>
          <w:szCs w:val="24"/>
        </w:rPr>
        <w:t xml:space="preserve">La Tasi è invece destinata al finanziamento di servizi pubblici comunali rivolti alla collettività e, pertanto, deve essere corrisposta sia dai proprietari che dagli affittuari. Proprio la fruizione del servizio pubblico indivisibile giustifica l’obbligo del pagamento in capo al locatario finanziario dalla data di stipulazione del contratto a quello di riconsegna del bene al locatore. Del resto, è vero che si è al cospetto di una norma di natura interpretativa, ma è altrettanto vero che tale valenza va limitata all’imposta Tasi. Senza tralasciare che, essendosi in presenza di norme tributarie, come tali aventi natura speciale, sussiste il divieto non solo di applicazione analogica, ma anche di interpretazione in funzione retroattiva, posto in riferimento alla Legge speciale dall’art. 14 disposizioni preliminari del </w:t>
      </w:r>
      <w:proofErr w:type="gramStart"/>
      <w:r w:rsidRPr="007D23D3">
        <w:rPr>
          <w:rFonts w:ascii="Garamond" w:hAnsi="Garamond"/>
          <w:color w:val="000000" w:themeColor="text1"/>
          <w:sz w:val="24"/>
          <w:szCs w:val="24"/>
        </w:rPr>
        <w:t>Cc..</w:t>
      </w:r>
      <w:proofErr w:type="gramEnd"/>
      <w:r w:rsidRPr="007D23D3">
        <w:rPr>
          <w:rFonts w:ascii="Garamond" w:hAnsi="Garamond"/>
          <w:color w:val="000000" w:themeColor="text1"/>
          <w:sz w:val="24"/>
          <w:szCs w:val="24"/>
        </w:rPr>
        <w:t xml:space="preserve"> </w:t>
      </w:r>
    </w:p>
    <w:p w14:paraId="5C4DA692" w14:textId="77777777" w:rsidR="007D23D3" w:rsidRPr="007D23D3" w:rsidRDefault="007D23D3" w:rsidP="007D23D3">
      <w:pPr>
        <w:tabs>
          <w:tab w:val="left" w:pos="7095"/>
        </w:tabs>
        <w:spacing w:after="0" w:line="240" w:lineRule="auto"/>
        <w:jc w:val="both"/>
        <w:rPr>
          <w:rFonts w:ascii="Garamond" w:hAnsi="Garamond"/>
          <w:color w:val="000000" w:themeColor="text1"/>
          <w:sz w:val="24"/>
          <w:szCs w:val="24"/>
        </w:rPr>
      </w:pPr>
      <w:r w:rsidRPr="007D23D3">
        <w:rPr>
          <w:rFonts w:ascii="Garamond" w:hAnsi="Garamond"/>
          <w:color w:val="000000" w:themeColor="text1"/>
          <w:sz w:val="24"/>
          <w:szCs w:val="24"/>
        </w:rPr>
        <w:t xml:space="preserve">Anche sul punto della mancanza di identità tra i 2 Tributi i Giudici di legittimità hanno fatto chiarezza, escludendo, sia l’applicazione della normativa della Tasi, riferita a un diverso tributo, </w:t>
      </w:r>
      <w:proofErr w:type="spellStart"/>
      <w:r w:rsidRPr="007D23D3">
        <w:rPr>
          <w:rFonts w:ascii="Garamond" w:hAnsi="Garamond"/>
          <w:color w:val="000000" w:themeColor="text1"/>
          <w:sz w:val="24"/>
          <w:szCs w:val="24"/>
        </w:rPr>
        <w:t>all’Imu</w:t>
      </w:r>
      <w:proofErr w:type="spellEnd"/>
      <w:r w:rsidRPr="007D23D3">
        <w:rPr>
          <w:rFonts w:ascii="Garamond" w:hAnsi="Garamond"/>
          <w:color w:val="000000" w:themeColor="text1"/>
          <w:sz w:val="24"/>
          <w:szCs w:val="24"/>
        </w:rPr>
        <w:t>, sia la valenza interpretativa dell’art. 1, comma 672, della Legge n. 147/2013.</w:t>
      </w:r>
    </w:p>
    <w:p w14:paraId="29FC2760" w14:textId="77777777" w:rsidR="007D23D3" w:rsidRPr="007D23D3" w:rsidRDefault="007D23D3" w:rsidP="007D23D3">
      <w:pPr>
        <w:spacing w:after="0" w:line="240" w:lineRule="auto"/>
        <w:jc w:val="center"/>
        <w:textAlignment w:val="baseline"/>
        <w:rPr>
          <w:rFonts w:ascii="Garamond" w:eastAsia="Times New Roman" w:hAnsi="Garamond" w:cs="Segoe UI"/>
          <w:sz w:val="23"/>
          <w:szCs w:val="23"/>
          <w:lang w:eastAsia="it-IT"/>
        </w:rPr>
      </w:pPr>
      <w:r w:rsidRPr="007D23D3">
        <w:rPr>
          <w:rFonts w:ascii="Garamond" w:eastAsia="Calibri" w:hAnsi="Garamond" w:cs="Times New Roman"/>
          <w:sz w:val="24"/>
          <w:szCs w:val="24"/>
        </w:rPr>
        <w:t>_______________________________________</w:t>
      </w:r>
      <w:r w:rsidRPr="007D23D3">
        <w:rPr>
          <w:rFonts w:ascii="Garamond" w:eastAsia="Times New Roman" w:hAnsi="Garamond" w:cs="Segoe UI"/>
          <w:color w:val="000000"/>
          <w:sz w:val="24"/>
          <w:szCs w:val="24"/>
          <w:bdr w:val="none" w:sz="0" w:space="0" w:color="auto" w:frame="1"/>
          <w:lang w:eastAsia="it-IT"/>
        </w:rPr>
        <w:t> </w:t>
      </w:r>
    </w:p>
    <w:p w14:paraId="497F5CC6" w14:textId="77777777" w:rsidR="007D23D3" w:rsidRPr="007D23D3" w:rsidRDefault="007D23D3" w:rsidP="007D23D3">
      <w:pPr>
        <w:spacing w:after="0" w:line="240" w:lineRule="auto"/>
        <w:textAlignment w:val="baseline"/>
        <w:rPr>
          <w:rFonts w:ascii="Garamond" w:eastAsia="Calibri" w:hAnsi="Garamond" w:cs="Times New Roman"/>
        </w:rPr>
      </w:pPr>
      <w:r w:rsidRPr="007D23D3">
        <w:rPr>
          <w:rFonts w:ascii="Garamond" w:eastAsia="Times New Roman" w:hAnsi="Garamond" w:cs="Segoe UI"/>
          <w:color w:val="000000"/>
          <w:sz w:val="24"/>
          <w:szCs w:val="24"/>
          <w:bdr w:val="none" w:sz="0" w:space="0" w:color="auto" w:frame="1"/>
          <w:lang w:eastAsia="it-IT"/>
        </w:rPr>
        <w:t> </w:t>
      </w:r>
    </w:p>
    <w:p w14:paraId="3616FC09" w14:textId="77777777" w:rsidR="007D23D3" w:rsidRPr="007D23D3" w:rsidRDefault="007D23D3" w:rsidP="007D23D3">
      <w:pPr>
        <w:spacing w:after="0" w:line="240" w:lineRule="auto"/>
        <w:jc w:val="center"/>
        <w:rPr>
          <w:rFonts w:ascii="Garamond" w:eastAsia="Times New Roman" w:hAnsi="Garamond" w:cs="Segoe UI"/>
          <w:b/>
          <w:bCs/>
          <w:color w:val="000000"/>
          <w:sz w:val="32"/>
          <w:szCs w:val="32"/>
          <w:lang w:eastAsia="it-IT"/>
        </w:rPr>
      </w:pPr>
      <w:bookmarkStart w:id="4" w:name="_GoBack"/>
      <w:bookmarkEnd w:id="4"/>
    </w:p>
    <w:sectPr w:rsidR="007D23D3" w:rsidRPr="007D23D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7C1"/>
    <w:rsid w:val="003E77C1"/>
    <w:rsid w:val="007D23D3"/>
    <w:rsid w:val="00B723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377D7"/>
  <w15:chartTrackingRefBased/>
  <w15:docId w15:val="{648CF209-5EC5-433C-A19F-B51BFCB3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1671</Words>
  <Characters>9527</Characters>
  <Application>Microsoft Office Word</Application>
  <DocSecurity>0</DocSecurity>
  <Lines>79</Lines>
  <Paragraphs>22</Paragraphs>
  <ScaleCrop>false</ScaleCrop>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3</cp:revision>
  <dcterms:created xsi:type="dcterms:W3CDTF">2024-06-06T07:26:00Z</dcterms:created>
  <dcterms:modified xsi:type="dcterms:W3CDTF">2024-06-06T07:28:00Z</dcterms:modified>
</cp:coreProperties>
</file>