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35E5FC" w14:textId="77777777" w:rsidR="007A23A6" w:rsidRDefault="007A23A6" w:rsidP="007A23A6">
      <w:r>
        <w:t>Pubblicato il 19/06/2024</w:t>
      </w:r>
    </w:p>
    <w:p w14:paraId="22C4A793" w14:textId="77777777" w:rsidR="007A23A6" w:rsidRDefault="007A23A6" w:rsidP="007A23A6">
      <w:r>
        <w:t>N. 05490/2024REG.PROV.COLL.</w:t>
      </w:r>
    </w:p>
    <w:p w14:paraId="6D5D80A0" w14:textId="77777777" w:rsidR="007A23A6" w:rsidRDefault="007A23A6" w:rsidP="007A23A6"/>
    <w:p w14:paraId="371C6C3E" w14:textId="77777777" w:rsidR="007A23A6" w:rsidRDefault="007A23A6" w:rsidP="007A23A6">
      <w:r>
        <w:t>N. 06822/2023 REG.RIC.</w:t>
      </w:r>
    </w:p>
    <w:p w14:paraId="58715293" w14:textId="77777777" w:rsidR="007A23A6" w:rsidRDefault="007A23A6" w:rsidP="007A23A6"/>
    <w:p w14:paraId="0E79B942" w14:textId="77777777" w:rsidR="007A23A6" w:rsidRDefault="007A23A6" w:rsidP="007A23A6"/>
    <w:p w14:paraId="6EC4C302" w14:textId="77777777" w:rsidR="007A23A6" w:rsidRDefault="007A23A6" w:rsidP="007A23A6"/>
    <w:p w14:paraId="0D7A201C" w14:textId="77777777" w:rsidR="007A23A6" w:rsidRDefault="007A23A6" w:rsidP="007A23A6">
      <w:r>
        <w:t>REPUBBLICA ITALIANA</w:t>
      </w:r>
    </w:p>
    <w:p w14:paraId="212E99BB" w14:textId="77777777" w:rsidR="007A23A6" w:rsidRDefault="007A23A6" w:rsidP="007A23A6"/>
    <w:p w14:paraId="13CC6052" w14:textId="77777777" w:rsidR="007A23A6" w:rsidRDefault="007A23A6" w:rsidP="007A23A6">
      <w:r>
        <w:t>IN NOME DEL POPOLO ITALIANO</w:t>
      </w:r>
    </w:p>
    <w:p w14:paraId="2297E4E9" w14:textId="77777777" w:rsidR="007A23A6" w:rsidRDefault="007A23A6" w:rsidP="007A23A6"/>
    <w:p w14:paraId="38357E2F" w14:textId="77777777" w:rsidR="007A23A6" w:rsidRDefault="007A23A6" w:rsidP="007A23A6">
      <w:r>
        <w:t>Il Consiglio di Stato</w:t>
      </w:r>
    </w:p>
    <w:p w14:paraId="7736AC1C" w14:textId="77777777" w:rsidR="007A23A6" w:rsidRDefault="007A23A6" w:rsidP="007A23A6"/>
    <w:p w14:paraId="0775A29D" w14:textId="77777777" w:rsidR="007A23A6" w:rsidRDefault="007A23A6" w:rsidP="007A23A6">
      <w:r>
        <w:t>in sede giurisdizionale (Sezione Quinta)</w:t>
      </w:r>
    </w:p>
    <w:p w14:paraId="46EC1F00" w14:textId="77777777" w:rsidR="007A23A6" w:rsidRDefault="007A23A6" w:rsidP="007A23A6"/>
    <w:p w14:paraId="6B6E2527" w14:textId="77777777" w:rsidR="007A23A6" w:rsidRDefault="007A23A6" w:rsidP="007A23A6">
      <w:r>
        <w:t>ha pronunciato la presente</w:t>
      </w:r>
    </w:p>
    <w:p w14:paraId="7B94476B" w14:textId="77777777" w:rsidR="007A23A6" w:rsidRDefault="007A23A6" w:rsidP="007A23A6"/>
    <w:p w14:paraId="0284D6A0" w14:textId="77777777" w:rsidR="007A23A6" w:rsidRDefault="007A23A6" w:rsidP="007A23A6">
      <w:r>
        <w:t>SENTENZA</w:t>
      </w:r>
    </w:p>
    <w:p w14:paraId="3D2A6A41" w14:textId="77777777" w:rsidR="007A23A6" w:rsidRDefault="007A23A6" w:rsidP="007A23A6"/>
    <w:p w14:paraId="1F3B06F3" w14:textId="77777777" w:rsidR="007A23A6" w:rsidRDefault="007A23A6" w:rsidP="007A23A6">
      <w:r>
        <w:t>sul ricorso numero di registro generale 6822 del 2023, proposto da</w:t>
      </w:r>
    </w:p>
    <w:p w14:paraId="36865FC3" w14:textId="77777777" w:rsidR="007A23A6" w:rsidRDefault="007A23A6" w:rsidP="007A23A6">
      <w:r>
        <w:t>BLS International Service Limited, in relazione alla procedura CIG 8991495068, rappresentata e difesa dall'avvocato Emanuele Torcoletti, con domicilio digitale come da PEC da Registri di Giustizia e domicilio eletto presso lo studio Marta Lettieri in Roma, Lungotevere Flaminio, n. 44;</w:t>
      </w:r>
    </w:p>
    <w:p w14:paraId="5C147A41" w14:textId="77777777" w:rsidR="007A23A6" w:rsidRDefault="007A23A6" w:rsidP="007A23A6">
      <w:r>
        <w:t>contro</w:t>
      </w:r>
    </w:p>
    <w:p w14:paraId="18A2F538" w14:textId="77777777" w:rsidR="007A23A6" w:rsidRDefault="007A23A6" w:rsidP="007A23A6"/>
    <w:p w14:paraId="3EA62482" w14:textId="77777777" w:rsidR="007A23A6" w:rsidRDefault="007A23A6" w:rsidP="007A23A6">
      <w:r>
        <w:t>Ministero degli Affari Esteri e della Cooperazione Internazionale, rappresentato e difeso dall'Avvocatura Generale dello Stato, domiciliataria in Roma, via dei Portoghesi, 12;</w:t>
      </w:r>
    </w:p>
    <w:p w14:paraId="06D36DCA" w14:textId="77777777" w:rsidR="007A23A6" w:rsidRDefault="007A23A6" w:rsidP="007A23A6">
      <w:r>
        <w:t>Ambasciata D'Italia a Teheran;</w:t>
      </w:r>
    </w:p>
    <w:p w14:paraId="78279AB2" w14:textId="77777777" w:rsidR="007A23A6" w:rsidRDefault="007A23A6" w:rsidP="007A23A6">
      <w:r>
        <w:t>nei confronti</w:t>
      </w:r>
    </w:p>
    <w:p w14:paraId="2266A756" w14:textId="77777777" w:rsidR="007A23A6" w:rsidRDefault="007A23A6" w:rsidP="007A23A6"/>
    <w:p w14:paraId="572E4DB5" w14:textId="77777777" w:rsidR="007A23A6" w:rsidRDefault="007A23A6" w:rsidP="007A23A6">
      <w:r>
        <w:t>società Rahyab Gozar Arta, rappresentata e difesa dall'avvocato Antonio Feroleto, con domicilio digitale come da PEC da Registri di Giustizia;</w:t>
      </w:r>
    </w:p>
    <w:p w14:paraId="2667ECD3" w14:textId="77777777" w:rsidR="007A23A6" w:rsidRDefault="007A23A6" w:rsidP="007A23A6">
      <w:r>
        <w:t>per la riforma</w:t>
      </w:r>
    </w:p>
    <w:p w14:paraId="7BF52CD8" w14:textId="77777777" w:rsidR="007A23A6" w:rsidRDefault="007A23A6" w:rsidP="007A23A6"/>
    <w:p w14:paraId="07C664A4" w14:textId="77777777" w:rsidR="007A23A6" w:rsidRDefault="007A23A6" w:rsidP="007A23A6">
      <w:r>
        <w:t>della sentenza del Tribunale Amministrativo Regionale per il Lazio (Sezione Terza) n. 07251/2023, resa tra le parti;</w:t>
      </w:r>
    </w:p>
    <w:p w14:paraId="610F98F4" w14:textId="77777777" w:rsidR="007A23A6" w:rsidRDefault="007A23A6" w:rsidP="007A23A6"/>
    <w:p w14:paraId="2E6BBD61" w14:textId="77777777" w:rsidR="007A23A6" w:rsidRDefault="007A23A6" w:rsidP="007A23A6"/>
    <w:p w14:paraId="764D0BED" w14:textId="77777777" w:rsidR="007A23A6" w:rsidRDefault="007A23A6" w:rsidP="007A23A6">
      <w:r>
        <w:t>Visti il ricorso in appello e i relativi allegati;</w:t>
      </w:r>
    </w:p>
    <w:p w14:paraId="04CF6D33" w14:textId="77777777" w:rsidR="007A23A6" w:rsidRDefault="007A23A6" w:rsidP="007A23A6"/>
    <w:p w14:paraId="249CF8CC" w14:textId="77777777" w:rsidR="007A23A6" w:rsidRDefault="007A23A6" w:rsidP="007A23A6">
      <w:r>
        <w:t>Visti gli atti di costituzione in giudizio del Ministero degli Affari Esteri e della Cooperazione Internazionale e della società Rahyab Gozar Arta;</w:t>
      </w:r>
    </w:p>
    <w:p w14:paraId="35017796" w14:textId="77777777" w:rsidR="007A23A6" w:rsidRDefault="007A23A6" w:rsidP="007A23A6"/>
    <w:p w14:paraId="1455884A" w14:textId="77777777" w:rsidR="007A23A6" w:rsidRDefault="007A23A6" w:rsidP="007A23A6">
      <w:r>
        <w:t>Visti tutti gli atti della causa;</w:t>
      </w:r>
    </w:p>
    <w:p w14:paraId="305A4DB5" w14:textId="77777777" w:rsidR="007A23A6" w:rsidRDefault="007A23A6" w:rsidP="007A23A6"/>
    <w:p w14:paraId="1363F5E5" w14:textId="77777777" w:rsidR="007A23A6" w:rsidRDefault="007A23A6" w:rsidP="007A23A6">
      <w:r>
        <w:t>Relatore nell'udienza pubblica del giorno 18 gennaio 2024 il Cons. Antonino Masaracchia e uditi per le parti gli avvocati Torcoletti e Feroleto;</w:t>
      </w:r>
    </w:p>
    <w:p w14:paraId="7CDCFD32" w14:textId="77777777" w:rsidR="007A23A6" w:rsidRDefault="007A23A6" w:rsidP="007A23A6"/>
    <w:p w14:paraId="44EA7168" w14:textId="77777777" w:rsidR="007A23A6" w:rsidRDefault="007A23A6" w:rsidP="007A23A6">
      <w:r>
        <w:t>Ritenuto e considerato in fatto e diritto quanto segue.</w:t>
      </w:r>
    </w:p>
    <w:p w14:paraId="710D8190" w14:textId="77777777" w:rsidR="007A23A6" w:rsidRDefault="007A23A6" w:rsidP="007A23A6"/>
    <w:p w14:paraId="2E3068E6" w14:textId="77777777" w:rsidR="007A23A6" w:rsidRDefault="007A23A6" w:rsidP="007A23A6"/>
    <w:p w14:paraId="12351580" w14:textId="77777777" w:rsidR="007A23A6" w:rsidRDefault="007A23A6" w:rsidP="007A23A6">
      <w:r>
        <w:t>FATTO e DIRITTO</w:t>
      </w:r>
    </w:p>
    <w:p w14:paraId="19869017" w14:textId="77777777" w:rsidR="007A23A6" w:rsidRDefault="007A23A6" w:rsidP="007A23A6"/>
    <w:p w14:paraId="5A528BDC" w14:textId="77777777" w:rsidR="007A23A6" w:rsidRDefault="007A23A6" w:rsidP="007A23A6">
      <w:r>
        <w:t>1. – La BLS International Service LTD appella la sentenza del TAR Lazio, meglio individuata in epigrafe, con la quale è stata rigettata la sua impugnazione – articolata, in primo grado, con il ricorso introduttivo e sei atti di motivi aggiunti – contro l’esito finale della gara, bandita dal Ministero degli esteri e dall’Ambasciata d’Italia a Teheran, per l’affidamento dei servizi relativi allo svolgimento di attività ausiliarie al rilascio di visti di ingresso in Italia e legalizzazioni. La gara è stata aggiudicata alla controinteressata Rahyab Gozar Arta, società iraniana, mentre la ditta appellante si è piazzata al secondo posto della graduatoria.</w:t>
      </w:r>
    </w:p>
    <w:p w14:paraId="2BCC5808" w14:textId="77777777" w:rsidR="007A23A6" w:rsidRDefault="007A23A6" w:rsidP="007A23A6"/>
    <w:p w14:paraId="5959EDF7" w14:textId="77777777" w:rsidR="007A23A6" w:rsidRDefault="007A23A6" w:rsidP="007A23A6">
      <w:r>
        <w:t>L’appello è affidato a sette motivi che contestano, sotto plurimi profili, le motivazioni spese dal TAR con la sentenza di prime cure. Con l’ultimo di tali motivi, in particolare, l’appellante formula domanda di tutela in forma specifica, chiedendo il proprio subentro nel contratto.</w:t>
      </w:r>
    </w:p>
    <w:p w14:paraId="6A0B0C5F" w14:textId="77777777" w:rsidR="007A23A6" w:rsidRDefault="007A23A6" w:rsidP="007A23A6"/>
    <w:p w14:paraId="44E68B14" w14:textId="77777777" w:rsidR="007A23A6" w:rsidRDefault="007A23A6" w:rsidP="007A23A6">
      <w:r>
        <w:t>2. – Si sono costituite, nel presente giudizio d’appello, sia l’amministrazione stazione appaltante, in persona del Ministro pro tempore, rappresentata e difesa dall’Avvocatura Generale dello Stato, sia la controinteressata Rahyab Gozar Arta, entrambe sostenendo, con diverse e plurime argomentazioni, l’infondatezza dei motivi di appello.</w:t>
      </w:r>
    </w:p>
    <w:p w14:paraId="5B724DB0" w14:textId="77777777" w:rsidR="007A23A6" w:rsidRDefault="007A23A6" w:rsidP="007A23A6"/>
    <w:p w14:paraId="4B1B4775" w14:textId="77777777" w:rsidR="007A23A6" w:rsidRDefault="007A23A6" w:rsidP="007A23A6">
      <w:r>
        <w:lastRenderedPageBreak/>
        <w:t>In vista della pubblica udienza di discussione, in particolare, le due imprese private – appellante e appellata – hanno depositato memorie difensive, anche in via di replica.</w:t>
      </w:r>
    </w:p>
    <w:p w14:paraId="70912A45" w14:textId="77777777" w:rsidR="007A23A6" w:rsidRDefault="007A23A6" w:rsidP="007A23A6"/>
    <w:p w14:paraId="0C0F7FF2" w14:textId="77777777" w:rsidR="007A23A6" w:rsidRDefault="007A23A6" w:rsidP="007A23A6">
      <w:r>
        <w:t>Alla pubblica udienza del 18 gennaio 2024 la causa è stata trattenuta in decisione.</w:t>
      </w:r>
    </w:p>
    <w:p w14:paraId="49AC2986" w14:textId="77777777" w:rsidR="007A23A6" w:rsidRDefault="007A23A6" w:rsidP="007A23A6"/>
    <w:p w14:paraId="6CC1E5E0" w14:textId="77777777" w:rsidR="007A23A6" w:rsidRDefault="007A23A6" w:rsidP="007A23A6">
      <w:r>
        <w:t>3. – L’appello, nel complesso, non è fondato.</w:t>
      </w:r>
    </w:p>
    <w:p w14:paraId="659CA74D" w14:textId="77777777" w:rsidR="007A23A6" w:rsidRDefault="007A23A6" w:rsidP="007A23A6"/>
    <w:p w14:paraId="45CB2896" w14:textId="77777777" w:rsidR="007A23A6" w:rsidRDefault="007A23A6" w:rsidP="007A23A6">
      <w:r>
        <w:t>3.1. – Il primo motivo è rubricato “Violazione e falsa applicazione degli artt. 24 e 111 Costituzione, degli artt. 1, 29, 43 e 120 c.p.a. per avere considerato tardiva la doglianza formulata con motivi aggiunti notificati il 3.10.2022 (depositati il 6.10.2022). Violazione dell’art. 112 c.p.c. per omessa pronuncia sulla doglianza proposta con atto di motivi aggiunti notificato in data 8.7.2022 (depositato il 15.7.2022). Riproposizione ex art. 110 comma 2° c.p.a. dei motivi non esaminati in primo grado per violazione di legge ed eccesso di potere per violazione dell’art. 83 del d.lgs. 50/2016 e del paragrafo 4.3 del Disciplinare di Gara”.</w:t>
      </w:r>
    </w:p>
    <w:p w14:paraId="1DE0E6C0" w14:textId="77777777" w:rsidR="007A23A6" w:rsidRDefault="007A23A6" w:rsidP="007A23A6"/>
    <w:p w14:paraId="58010893" w14:textId="77777777" w:rsidR="007A23A6" w:rsidRDefault="007A23A6" w:rsidP="007A23A6">
      <w:r>
        <w:t>Nella sostanza, l’appellante si duole del giudizio di tardività che il TAR ha formulato in ordine ad una delle censure che, in primo grado, erano state dedotte con i terzi motivi aggiunti, notificati il 3 ottobre 2022. Tale censura lamentava l’assenza di un contratto di avvalimento tra l’aggiudicataria e la società Visametric Vize, chiamata a svolgere effettivamente le prestazioni, e, di conseguenza, contestava la mancanza di capacità, in capo alla società affidataria, ai fini della realizzazione delle prestazioni oggetto di gara. La censura e quelle ad essa conseguenti, come presentate in primo grado, reputate dunque tempestive dall’appellante, vengono di conseguenza riproposte nella presente sede.</w:t>
      </w:r>
    </w:p>
    <w:p w14:paraId="3AB2CB6A" w14:textId="77777777" w:rsidR="007A23A6" w:rsidRDefault="007A23A6" w:rsidP="007A23A6"/>
    <w:p w14:paraId="78327D71" w14:textId="77777777" w:rsidR="007A23A6" w:rsidRDefault="007A23A6" w:rsidP="007A23A6">
      <w:r>
        <w:t>Il motivo non è fondato.</w:t>
      </w:r>
    </w:p>
    <w:p w14:paraId="44035362" w14:textId="77777777" w:rsidR="007A23A6" w:rsidRDefault="007A23A6" w:rsidP="007A23A6"/>
    <w:p w14:paraId="4EA2AFD7" w14:textId="77777777" w:rsidR="007A23A6" w:rsidRDefault="007A23A6" w:rsidP="007A23A6">
      <w:r>
        <w:t>Come ben evidenziato dalle difese dell’appellata, emergono inequivoche circostanze di fatto dalle quali si evince che l’effettiva offerente è stata la Rahyab, e non direttamente la Visametric Vize, chiamata solo come impresa ausiliaria. Tali circostanze, come ulteriormente emerge dagli atti versati in giudizio, dovevano considerarsi note all’odierna appellante sin dal documento denominato “addendum” dell’8 maggio 2022 della stazione appaltante (pubblicato in tale data), dal quale era desumibile che l’offerta era stata presentata dalla Rahyab, per tramite della quale – come si legge in tale atto – la Visametric Vize opera in Iran. Tale addendum era sicuramente conosciuto dall’appellante già in data 29 giugno 2022, giorno in cui essa l’ha depositato nel giudizio di primo grado, onde emerge la tardività della censura qui in esame, che è stata notificata in data 3 ottobre 2022, quindi oltre il termine dimidiato di trenta giorni (pur allungato dalla sospensione feriale dei termini).</w:t>
      </w:r>
    </w:p>
    <w:p w14:paraId="5240B1C2" w14:textId="77777777" w:rsidR="007A23A6" w:rsidRDefault="007A23A6" w:rsidP="007A23A6"/>
    <w:p w14:paraId="16F03379" w14:textId="77777777" w:rsidR="007A23A6" w:rsidRDefault="007A23A6" w:rsidP="007A23A6">
      <w:r>
        <w:t xml:space="preserve">3.2. – Il secondo motivo di appello è rubricato “Violazione e falsa applicazione dell’articolo 5 duodecies e 12 del Regolamento UE n. 833/2014, così come modificato con Regolamento UE 576/2022, anche in relazione agli articoli 10, 11, 37 e 117 Costituzione, sotto il profilo del mancato accoglimento dei motivi di annullamento collegati alla omessa esclusione della società Rahyab Gozar Arta per essersi avvalsa, in misura superiore al 10% del valore del contratto, dei requisiti e delle capacità riferibili alla società VMS stabilita nel territorio della Federazione Russa”. Con tale mezzo, in sostanza, l’appellante torna ad invocare </w:t>
      </w:r>
      <w:r>
        <w:lastRenderedPageBreak/>
        <w:t>l’applicazione della normativa sanzionatoria che, in sede di Unione europea, è stata introdotta contro le imprese stabilite in Russia, ai sensi dell’art. 5-duodecies del Regolamento UE 833/2014. La censura, presentata in primo grado, si riferiva alla situazione della società VMS, di cui si avvale l’aggiudicataria, che a detta dell’appellante avrebbe legami con la Federazione russa tali da integrare le previsioni sanzionatorie de quibus.</w:t>
      </w:r>
    </w:p>
    <w:p w14:paraId="17F37430" w14:textId="77777777" w:rsidR="007A23A6" w:rsidRDefault="007A23A6" w:rsidP="007A23A6"/>
    <w:p w14:paraId="71BD16FF" w14:textId="77777777" w:rsidR="007A23A6" w:rsidRDefault="007A23A6" w:rsidP="007A23A6">
      <w:r>
        <w:t>Il motivo non è fondato.</w:t>
      </w:r>
    </w:p>
    <w:p w14:paraId="7E28325D" w14:textId="77777777" w:rsidR="007A23A6" w:rsidRDefault="007A23A6" w:rsidP="007A23A6"/>
    <w:p w14:paraId="67211231" w14:textId="77777777" w:rsidR="007A23A6" w:rsidRDefault="007A23A6" w:rsidP="007A23A6">
      <w:r>
        <w:t>Giova qui ricordare che, all’esito del giudizio di primo grado, il TAR ha rigettato la censura in esame osservando, anzitutto, che il requisito di fatturato, prestato alla ditta aggiudicataria dalla VMS, è pari al 7,5% – dato che non sarebbe contestato tra le parti – e, come tale, non raggiunge la soglia del 10% che, a norma dell’art. 5-duodecies del Regolamento UE 833/2014, rende operativo il divieto di aggiudicazione degli appalti. In secondo luogo, il TAR ha osservato che la società VMS risulta trasferita fuori dalla Federazione russa, per la precisione a Dubai, essendo stata acquisita da una società locale (la VMS LLC), con ciò essendo ormai venuta meno la sua operatività nel territorio russo. Infine, il Giudice di prime cure ha rimarcato che la società aggiudicataria ha comunque parzialmente sostituito la VMS con altre due imprese ausiliarie e che, anche a voler sommare le quote di avvalimento delle due nuove ausiliarie con la quota di avvalimento di VMS, non si raggiunge comunque la soglia del 10%, oltre la quale il divieto derivante dalla fonte comunitaria andrebbe applicato.</w:t>
      </w:r>
    </w:p>
    <w:p w14:paraId="7AC3DE1B" w14:textId="77777777" w:rsidR="007A23A6" w:rsidRDefault="007A23A6" w:rsidP="007A23A6"/>
    <w:p w14:paraId="472C98C3" w14:textId="77777777" w:rsidR="007A23A6" w:rsidRDefault="007A23A6" w:rsidP="007A23A6">
      <w:r>
        <w:t>A fronte di tali precisazioni da parte del TAR, le doglianze in questa sede veicolate dall’appellante risultano del tutto generiche e prive di riscontri attendibili, non riuscendo nell’intento di dimostrare la natura “elusiva” della contestata operazione societaria. Non risulta rigorosamente dimostrata, in particolare, la sostenuta “integrale continuità economica” tra le due compagini societarie (l’una, quella originariamente avente sede in Russia; e l’altra, avente adesso sede in Dubai). Ciò era tanto più necessario, avuto riguardo alle ricadute sfavorevoli, particolarmente afflittive, che derivano a danno dell’operatore il quale risulti attinto da elementi “inquinatori” che lo collegano alla Federazione russa, ai sensi dell’art. 5-duodecies del Regolamento UE 833/2014: ricadute sfavorevoli che richiedono una prova rigorosa in ordine all’effettiva sussistenza delle condizioni previste dalla normativa sanzionatoria.</w:t>
      </w:r>
    </w:p>
    <w:p w14:paraId="14ED3A7F" w14:textId="77777777" w:rsidR="007A23A6" w:rsidRDefault="007A23A6" w:rsidP="007A23A6"/>
    <w:p w14:paraId="6BE9E2D1" w14:textId="77777777" w:rsidR="007A23A6" w:rsidRDefault="007A23A6" w:rsidP="007A23A6">
      <w:r>
        <w:t>Nel caso di specie, gli argomenti dell’appellante non sono tali da revocare in dubbio gli elementi che il TAR ha, in contrario, valorizzato ai fini di ritenere non applicabile la sanzione derivante dalla normativa UE. In particolare, non appaiono scalfiti né l’elemento che si incentra sul valore del 7,5% del valore del contratto che forma oggetto dell’apporto fornito dall’ausiliaria (dunque, inferiore alla soglia rilevante del 10%), né l’elemento che si riferisce alle quote di avvalimento delle due nuove ausiliarie (la Visametric Vize e la Visametric Kazakhstan) che in tesi, se sommate alla quota di avvalimento della VMS, condurrebbero al superamento della rilevante soglia percentuale. Non viene, infatti, contestato che il capitale della prima delle due società è posseduto, per il 60%, da un soggetto privo di collegamenti con la Federazione russa, onde il rimanente 40%, pur se detenuto dalla VMS, non può comportare alcun effetto di dominio, come correttamente ritenuto dal TAR.</w:t>
      </w:r>
    </w:p>
    <w:p w14:paraId="06AF4D1D" w14:textId="77777777" w:rsidR="007A23A6" w:rsidRDefault="007A23A6" w:rsidP="007A23A6"/>
    <w:p w14:paraId="0E2DF548" w14:textId="77777777" w:rsidR="007A23A6" w:rsidRDefault="007A23A6" w:rsidP="007A23A6">
      <w:r>
        <w:t xml:space="preserve">3.3. – Con il terzo motivo, l’appellante deduce: “Illegittimità della sentenza per avere ritenuto legittima l’omessa esclusione dell’aggiudicataria nonostante non avesse dimostrato, anche mediante l’avvalimento, il </w:t>
      </w:r>
      <w:r>
        <w:lastRenderedPageBreak/>
        <w:t>possesso del requisito di fatturato richieste dalla lex specialis. Violazione dell’art. 112 c.p.c. Violazione di legge in relazione ai paragrafi 4.1 e 4.3 e 10 del Disciplinare di Gara, sotto il profilo della carenza dei requisiti di fatturato dichiarati in sede di avvalimento dalle società ausiliarie I-DATA e Visametric Vize. Violazione e falsa applicazione dell’articolo 80 comma 5° lett. f) bis del d.lgs. 50/2016 sotto il profilo della omessa esclusione dalla procedura di gara della società offerente Rahyab Gozar Arta e delle società ausiliarie IDATA e Visametric Vize”.</w:t>
      </w:r>
    </w:p>
    <w:p w14:paraId="142770EC" w14:textId="77777777" w:rsidR="007A23A6" w:rsidRDefault="007A23A6" w:rsidP="007A23A6"/>
    <w:p w14:paraId="4823D631" w14:textId="77777777" w:rsidR="007A23A6" w:rsidRDefault="007A23A6" w:rsidP="007A23A6">
      <w:r>
        <w:t>In questo caso, l’appellante si riferisce al concetto di “fatturato” e contesta che in esso, ai fini di ritenere raggiunto il requisito minimo globale di fatturato richiesto dalla lex specialis, possano essere conteggiate (come ritenuto dal primo Giudice) voci diverse dalle “vendite di beni” o dai corrispettivi per la prestazione di servizi.</w:t>
      </w:r>
    </w:p>
    <w:p w14:paraId="21DCE214" w14:textId="77777777" w:rsidR="007A23A6" w:rsidRDefault="007A23A6" w:rsidP="007A23A6"/>
    <w:p w14:paraId="31D9EFA9" w14:textId="77777777" w:rsidR="007A23A6" w:rsidRDefault="007A23A6" w:rsidP="007A23A6">
      <w:r>
        <w:t>Il motivo non è fondato.</w:t>
      </w:r>
    </w:p>
    <w:p w14:paraId="10CBEA6F" w14:textId="77777777" w:rsidR="007A23A6" w:rsidRDefault="007A23A6" w:rsidP="007A23A6"/>
    <w:p w14:paraId="79ED5519" w14:textId="77777777" w:rsidR="007A23A6" w:rsidRDefault="007A23A6" w:rsidP="007A23A6">
      <w:r>
        <w:t>Deve qui ricordarsi che, nell’esaminare la corrispondente censura introdotta in primo grado, il TAR ha ritenuto che nel concetto di fatturato, utile per la verifica della solidità finanziaria dell’operatore, devono essere comprese anche le voci di ricavo derivanti dalla partecipazione a società. Nel caso di specie – ha rimarcato il TAR – ciò conduce al rigetto delle censure in esame, in quanto consente all’aggiudicataria di raggiungere la soglia minima di fatturato richiesta dalla lex specialis.</w:t>
      </w:r>
    </w:p>
    <w:p w14:paraId="20E6A9CD" w14:textId="77777777" w:rsidR="007A23A6" w:rsidRDefault="007A23A6" w:rsidP="007A23A6"/>
    <w:p w14:paraId="4C0CF1EB" w14:textId="77777777" w:rsidR="007A23A6" w:rsidRDefault="007A23A6" w:rsidP="007A23A6">
      <w:r>
        <w:t>Tale prospettazione deve essere condivisa, alla luce della ratio della previsione del requisito minimo di fatturato che deve essere soddisfatto dall’operatore economico offerente. Si tratta, infatti, di verificare la stabilità e la reale dimensione economico-finanziaria dell’operatore, nella prospettiva di fornire alla stazione appaltante reali e verificabili indici di controllo in ordine all’affidamento economico-finanziario dell’operatore che ha presentato offerta, ai fini della realizzazione e della buona riuscita della commessa pubblica. Gli introiti de quibus, pertanto, ben possono essere compresi nella nozione rilevante di “fatturato” e vanno, di conseguenza, conteggiati al fine di integrare il requisito minimo prescritto per la partecipazione alla gara.</w:t>
      </w:r>
    </w:p>
    <w:p w14:paraId="27A9930C" w14:textId="77777777" w:rsidR="007A23A6" w:rsidRDefault="007A23A6" w:rsidP="007A23A6"/>
    <w:p w14:paraId="2F7B028F" w14:textId="77777777" w:rsidR="007A23A6" w:rsidRDefault="007A23A6" w:rsidP="007A23A6">
      <w:r>
        <w:t>3.4. – Il quarto motivo di appello è rubricato come segue: “Illegittimità della pronuncia di primo grado per avere ritenuto legittima l’omessa esclusione dell’aggiudicataria che si è avvalsa di requisiti forniti dalle società I-DATA, VMS, Visametric Vize e Visametric Kazakhstan ulteriori e diversi, da quelli dichiarati in sede di presentazione dell’offerta. Violazione e falsa applicazione dell’art. 112 c.p.c. per omessa pronuncia in ordine ai contratti di avvalimenti intercorsi con Visametric Vize e Visametric Kazakhstan in sostituzione dell’originario contratto di avvalimento con VMS. Riproposizione dei motivi non esaminati ex art. 110 c.p.a. per violazione e falsa applicazione degli articolo 83 e 89 d.lgs. 50/2016, eccesso di potere, sviamento e difetto di istruttoria”.</w:t>
      </w:r>
    </w:p>
    <w:p w14:paraId="1D1E0191" w14:textId="77777777" w:rsidR="007A23A6" w:rsidRDefault="007A23A6" w:rsidP="007A23A6"/>
    <w:p w14:paraId="232ED472" w14:textId="77777777" w:rsidR="007A23A6" w:rsidRDefault="007A23A6" w:rsidP="007A23A6">
      <w:r>
        <w:t xml:space="preserve">Nella sostanza, la tesi dell’appellante poggia sulla circostanza che il contratto di avvalimento, stipulato tra l’aggiudicataria e la società I-DATA, includeva nel proprio oggetto taluni elementi (come la “struttura informatica” e la fornitura di n. 1 impiegato) che non trovavano riscontro nel DGUE (dove era stato indicato solo l’avvalimento di garanzia, relativo cioè solo al fatturato globale annuo di I-DATA). Di conseguenza, a </w:t>
      </w:r>
      <w:r>
        <w:lastRenderedPageBreak/>
        <w:t>giudizio dell’appellante, l’oggetto del contratto di avvalimento assumeva un contenuto inammissibilmente più ampio di quello che era stato indicato nel DGUE.</w:t>
      </w:r>
    </w:p>
    <w:p w14:paraId="5698D8CD" w14:textId="77777777" w:rsidR="007A23A6" w:rsidRDefault="007A23A6" w:rsidP="007A23A6"/>
    <w:p w14:paraId="40C223F0" w14:textId="77777777" w:rsidR="007A23A6" w:rsidRDefault="007A23A6" w:rsidP="007A23A6">
      <w:r>
        <w:t>Il motivo non è fondato.</w:t>
      </w:r>
    </w:p>
    <w:p w14:paraId="72E98481" w14:textId="77777777" w:rsidR="007A23A6" w:rsidRDefault="007A23A6" w:rsidP="007A23A6"/>
    <w:p w14:paraId="038D2C4C" w14:textId="77777777" w:rsidR="007A23A6" w:rsidRDefault="007A23A6" w:rsidP="007A23A6">
      <w:r>
        <w:t>Occorre ricordare che, a giudizio del TAR, “l’aggiudicataria non ha inteso in alcun modo avvalersi della struttura imprenditoriale di IDATA”. Tale affermazione deve trovare in questa sede conferma, in quanto gli elementi indicati dall’appellante si svelano privi di effettiva portata sostanziale. L’indicazione, nel contratto di avvalimento, della struttura informatica dell’ausiliaria e della (unica) risorsa umana, invero, non è accompagnata da una descrizione che qualifichi dovutamente quali fossero le componenti strutturali della “struttura informatica” e i compiti ad essa assegnati, né parimenti è sorretta dalla necessaria indicazione delle incombenze rimesse all’“impiegato”. Ancor più in radice, non si hanno riscontri certi tali da confermare che simili elementi “aggiuntivi” fossero in grado di incidere, effettivamente, sull’esecuzione del contratto di appalto. Alla luce di ciò, pare al Collegio che l’indicazione di tali elementi costituisca il frutto dell’inserimento, nel contratto di avvalimento, di una clausola prestampata, priva di effettivo contenuto contrattuale, o comunque priva di effettivo nesso con l’oggetto dell’appalto, onde non può apprezzarsi il rilievo sostanziale che, in tesi, si vorrebbe far discendere da dette previsioni.</w:t>
      </w:r>
    </w:p>
    <w:p w14:paraId="59E91495" w14:textId="77777777" w:rsidR="007A23A6" w:rsidRDefault="007A23A6" w:rsidP="007A23A6"/>
    <w:p w14:paraId="5DC78213" w14:textId="77777777" w:rsidR="007A23A6" w:rsidRDefault="007A23A6" w:rsidP="007A23A6">
      <w:r>
        <w:t>3.5. – Con il quinto motivo si deduce quanto segue: “Illegittimità della sentenza per avere ritenuto legittima la produzione, da parte della aggiudicataria, di contratti di avvalimento privi di data certa con le società I-DATA e VMS Visa Management Service (VMS). Violazione e falsa applicazione dell’art. 89 del D.lgs. 50/2016 e del paragrafo 4.3 del Disciplinare di Gara”.</w:t>
      </w:r>
    </w:p>
    <w:p w14:paraId="49D60CF6" w14:textId="77777777" w:rsidR="007A23A6" w:rsidRDefault="007A23A6" w:rsidP="007A23A6"/>
    <w:p w14:paraId="33BC0F16" w14:textId="77777777" w:rsidR="007A23A6" w:rsidRDefault="007A23A6" w:rsidP="007A23A6">
      <w:r>
        <w:t>In sostanza, l’appellante ripropone la prima censura dei terzi motivi aggiunti, con la quale, in primo grado, si era lamentata la mancata esclusione dell’offerta dell’aggiudicataria perché i suoi contratti di avvalimento con le ausiliarie I-Data e VMS sarebbero privi di data certa anteriore al 1° marzo 2022 e sarebbero stati redatti con scrittura privata priva di autenticazione o di marcatura temporale idonea a conferire data certa. A giudizio dell’appellante, l’interpretazione della lex specialis – la quale, come viene riconosciuto, “non impone l’immediata allegazione del contratto di avvalimento al plico dell’offerta” – andrebbe coordinata con l’“esigenza imperativa” di verificare la disponibilità dei requisiti in capo all’aggiudicataria già a decorrere dal momento di presentazione dell’offerta (nella specie: 1° marzo 2022), pena altrimenti la violazione dell’art. 89 del d.lgs. n. 50 del 2016.</w:t>
      </w:r>
    </w:p>
    <w:p w14:paraId="509B910A" w14:textId="77777777" w:rsidR="007A23A6" w:rsidRDefault="007A23A6" w:rsidP="007A23A6"/>
    <w:p w14:paraId="7B18027F" w14:textId="77777777" w:rsidR="007A23A6" w:rsidRDefault="007A23A6" w:rsidP="007A23A6">
      <w:r>
        <w:t>Il motivo non è fondato.</w:t>
      </w:r>
    </w:p>
    <w:p w14:paraId="6324C87B" w14:textId="77777777" w:rsidR="007A23A6" w:rsidRDefault="007A23A6" w:rsidP="007A23A6"/>
    <w:p w14:paraId="152C0AC0" w14:textId="77777777" w:rsidR="007A23A6" w:rsidRDefault="007A23A6" w:rsidP="007A23A6">
      <w:r>
        <w:t xml:space="preserve">Va confermata la motivazione di rigetto del TAR, che ha rilevato come la lex specialis non imponesse la presentazione dei contratti di avvalimento insieme all’offerta, né stabiliva espressamente che dovesse trattarsi di contratti con data certa, essendo piuttosto sufficienti, ai fini di garantire l’anteriorità dell’impegno delle imprese ausiliarie, le dichiarazioni contenute nei DGUE sottoscritte dalle stesse ed allegate all’offerta. Si tratta di affermazioni che hanno il pregio di cogliere gli aspetti sostanziali della questione, coordinandoli con le esplicite previsioni della legge di gara, come correttamente richiamate dal medesimo Giudice di prime cure. Non ricorre, del resto, la violazione dell’art. 89 del d.lgs. n. 50 del 2016, in </w:t>
      </w:r>
      <w:r>
        <w:lastRenderedPageBreak/>
        <w:t>quanto il contratto di avvalimento risulta, nella specie, essere stato allegato all’atto della partecipazione in gara, sia pure senza l’indicazione della sua data; elemento, quest’ultimo, comunque sostituito dalla coeva dichiarazione e sottoscrizione del DGUE, sulla quale si sofferma il TAR, le quali ben possono essere intese – a differenza di quanto esposto dall’appellante nella sua memoria di replica, depositata il 5 gennaio 2024 – come la conferma dell’esistenza, da parte delle ausiliarie, del loro impegno nei confronti dell’offerente.</w:t>
      </w:r>
    </w:p>
    <w:p w14:paraId="55A52916" w14:textId="77777777" w:rsidR="007A23A6" w:rsidRDefault="007A23A6" w:rsidP="007A23A6"/>
    <w:p w14:paraId="3C2619D1" w14:textId="77777777" w:rsidR="007A23A6" w:rsidRDefault="007A23A6" w:rsidP="007A23A6">
      <w:r>
        <w:t>3.6. – Il sesto motivo di appello è così rubricato: “Illegittimità della sentenza per avere rigettato le doglianze di illegittimità ed eccesso di potere avverso la mancata esclusione dell’operatore per carenza di requisito essenziale (unità a conoscenza della lingua italiana) dell’offerta tecnica. Illegittimità della sentenza per non avere accolto i motivi di violazione di legge ed eccesso di potere avverso la manifesta irragionevolezza e la palese inattendibilità dei punteggi attribuiti alle offerte tecniche in competizione. Falsa applicazione degli artt. 24, 97 e 111 Cost. e dell’art. 1 c.p.a. sotto il profilo della violazione del diritto di difesa e dei principi di pienezza ed effettività della tutela giurisdizionale”.</w:t>
      </w:r>
    </w:p>
    <w:p w14:paraId="1CB94530" w14:textId="77777777" w:rsidR="007A23A6" w:rsidRDefault="007A23A6" w:rsidP="007A23A6"/>
    <w:p w14:paraId="0AA00940" w14:textId="77777777" w:rsidR="007A23A6" w:rsidRDefault="007A23A6" w:rsidP="007A23A6">
      <w:r>
        <w:t>Con ciò, nella sostanza, l’appellante ripropone l’ultima censura dedotta, in primo grado, con i primi motivi aggiunti, avente ad oggetto la presunta non conformità dell’offerta dell’aggiudicataria in quanto priva di alcun riferimento alla dotazione di personale avente conoscenza della lingua italiana, anche sotto il profilo del mancato rispetto della proporzione minima di 1 su 5 imposta dal capitolato.</w:t>
      </w:r>
    </w:p>
    <w:p w14:paraId="388F8250" w14:textId="77777777" w:rsidR="007A23A6" w:rsidRDefault="007A23A6" w:rsidP="007A23A6"/>
    <w:p w14:paraId="74871B63" w14:textId="77777777" w:rsidR="007A23A6" w:rsidRDefault="007A23A6" w:rsidP="007A23A6">
      <w:r>
        <w:t>La censura non è fondata.</w:t>
      </w:r>
    </w:p>
    <w:p w14:paraId="7E32AD7B" w14:textId="77777777" w:rsidR="007A23A6" w:rsidRDefault="007A23A6" w:rsidP="007A23A6"/>
    <w:p w14:paraId="79364616" w14:textId="77777777" w:rsidR="007A23A6" w:rsidRDefault="007A23A6" w:rsidP="007A23A6">
      <w:r>
        <w:t>Le deduzioni dell’appellante, invero, sono prove di mordente rispetto all’argomentazione sostanziale, esposta dal TAR, che rileva la presenza di una dichiarazione, nella domanda di ammissione, recante l’impegno dell’offerente di accettare e di applicare tutte le condizioni stabilite bando, incluse quelle del capitolato. La dichiarazione di impegno resa dall’aggiudicataria, pertanto, consente di ritenere – senza che ciò comporti l’inversione di alcun “ordine logico” (come opina l’appellante) – che, nell’offerta, doveva considerarsi soddisfatta la prescritta quota di personale a conoscenza della lingua italiana, trattandosi di un requisito di base del servizio, anche se tale caratteristica non è stata poi esplicitamente indicata nel documento contenente l’offerta vera e propria. Diverso sarebbe stato il caso se quest’ultimo avesse indicato un numero di dipendenti, aventi tale abilità, non conforme a quello minimo prescritto; nel caso di specie, invece, non può arguirsi dalla mancata indicazione un effetto – l’assenza, nell’offerta, del numero minimo di personale richiesto – che sarebbe in contrasto con il contenuto, pur generale, di cui alla dichiarazione d’impegno.</w:t>
      </w:r>
    </w:p>
    <w:p w14:paraId="322BA451" w14:textId="77777777" w:rsidR="007A23A6" w:rsidRDefault="007A23A6" w:rsidP="007A23A6"/>
    <w:p w14:paraId="4F4B87AC" w14:textId="77777777" w:rsidR="007A23A6" w:rsidRDefault="007A23A6" w:rsidP="007A23A6">
      <w:r>
        <w:t xml:space="preserve">3.6. – Il quinto motivo dell’appellante prosegue, poi, con il censurare alcuni aspetti afferenti all’attribuzione dei punteggi per l’offerta tecnica. Nel contestare le relative affermazioni del TAR, l’appellante sostiene l’erroneità e la manifesta iniquità della valutazione compiuta dalla commissione di gara, con riguardo alla valutazione di taluni aspetti, concernenti sia le infrastrutture proposte (qui essa rivendica il punteggio massimo di 4,00, avendo invece ottenuto il punteggio di 2,5), sia il criterio “Sicurezza Fisica e Protezione dell’Utenza” (è qui rivendicato il punteggio massimo di 2,5, in luogo di quello ottenuto, pari a 1,5), sia il criterio della “Vicinanza del VAC principale all’ufficio consolare italiano situato nella stessa città” (qui l’appellante contesta il punteggio massimo che è stato attribuito all’offerta della rivale, che non sarebbe caratterizzata da uno standard di adeguatezza pari a quello da lei offerto), sia infine il criterio concernente </w:t>
      </w:r>
      <w:r>
        <w:lastRenderedPageBreak/>
        <w:t>le attrezzature informatiche (in questo caso, l’appellante rivendica per sé il punteggio totale di 2,5, a fronte del punteggio di 1,5 che le ha attribuito il seggio di gara).</w:t>
      </w:r>
    </w:p>
    <w:p w14:paraId="1FA0BFEE" w14:textId="77777777" w:rsidR="007A23A6" w:rsidRDefault="007A23A6" w:rsidP="007A23A6"/>
    <w:p w14:paraId="74EFDD42" w14:textId="77777777" w:rsidR="007A23A6" w:rsidRDefault="007A23A6" w:rsidP="007A23A6">
      <w:r>
        <w:t>Anche questi profili di censura sono infondati.</w:t>
      </w:r>
    </w:p>
    <w:p w14:paraId="310817FA" w14:textId="77777777" w:rsidR="007A23A6" w:rsidRDefault="007A23A6" w:rsidP="007A23A6"/>
    <w:p w14:paraId="1E8C93FC" w14:textId="77777777" w:rsidR="007A23A6" w:rsidRDefault="007A23A6" w:rsidP="007A23A6">
      <w:r>
        <w:t>Va ricordato che, secondo la costante giurisprudenza di questo Consiglio di Stato, anche di questa Sezione, “Nell’ambito di una procedura ad evidenza pubblica le valutazioni delle offerte tecniche da parte delle Commissioni di gara sono espressione di discrezionalità tecnica, con la conseguenza che le stesse sono sottratte al sindacato di legittimità del giudice amministrativo, a meno che non siano manifestamente illogiche, irrazionali, irragionevoli, arbitrarie ovvero fondate su un altrettanto palese e manifesto travisamento dei fatti o, ancora, salvo che non vengano in rilievo specifiche censure circa la plausibilità dei criteri valutativi o la loro applicazione” (da ultimo, ex plurimis, della Sezione, la sentenza n. 8865 del 2022).</w:t>
      </w:r>
    </w:p>
    <w:p w14:paraId="1215ECF0" w14:textId="77777777" w:rsidR="007A23A6" w:rsidRDefault="007A23A6" w:rsidP="007A23A6"/>
    <w:p w14:paraId="6E2F641D" w14:textId="77777777" w:rsidR="007A23A6" w:rsidRDefault="007A23A6" w:rsidP="007A23A6">
      <w:r>
        <w:t>Nel caso di specie, non è dato ravvisare alcun giudizio, da parte della commissione, che si sia posto al di là dai precisati confini. Non quello relativo alle infrastrutture proposte, non potendo il sindacato giurisdizionale sostituirsi alla valutazione, compiuta dalla commissione, circa la dislocazione logistica del VAC (se a un piano, o a due piani) e le relative ricadute sull’aspetto della necessaria riservatezza, apparendo una personale opinione dell’appellante, anziché il frutto di “dati di comune esperienza”, quella secondo cui la “dislocazione su più piani rende difficilmente gestibile la convocazione dell’utenza ed il transito sulle scale e/o sugli ascensori” (analogamente è a dirsi per le altre caratteristiche tecniche della struttura, come descritte e fatte valere nell’atto di appello). Non quello, poi, relativo al criterio della “Sicurezza Fisica e Protezione dell’Utenza”, in quanto, pur se l’offerta di BLS era dotata di un doppio sistema di chiusura, rimane il fatto che essa, invece, non aveva previsto (come rimarcato dal TAR) un sistema di separazione tra ingresso e sala accoglienza, elemento che ben poteva condurre a una valutazione inferiore al massimo punteggio, secondo l’ampia discrezionalità valutativa rimessa al seggio di gara. Non è violativo dei tradizionali confini neppure il giudizio, reso dalla commissione, in merito al criterio della “Vicinanza del VAC principale all’ufficio consolare italiano situato nella stessa città”, venendo qui in considerazione – come emerge dalla stessa prospettazione dell’appellante – una differenza tra le rispettive distanze che caratterizzano le due offerte pari a meno di 200 metri: entrambe le offerte, dunque, proponevano una distanza davvero minima rispetto al Consolato e, dunque, erano sostanzialmente equivalenti, dovendosi, per l’effetto, ritenersi ragionevolmente condivisibile l’attribuzione, per tutte e due, del punteggio massimo previsto per il requisito in esame, come già ritenuto dal TAR. Infine, non è parimenti apprezzabile (nei sensi auspicati dall’appellante) neanche la valutazione resa dalla commissione relativamente al criterio delle attrezzature informatiche, posto che la censura mira a confrontare il numero di tali attrezzature con il numero del personale previsto, ossia con un aspetto che non necessariamente assume decisiva rilevanza in ordine all’esigenza di velocizzazione delle operazioni (cui pacificamente mirava il criterio in questione): come correttamente notato dalle controparti – ma ciò, in definitiva, afferisce alla valutazione ampiamente discrezionale della commissione di gara – non necessariamente deve sussistere una precisa corrispondenza tra il numero degli addetti e il numero delle postazioni informatiche, posto che queste ultime devono invece normalmente essere più numerose al fine di consentire il proseguimento del servizio in caso di malfunzionamento di singole postazioni informatiche. Non è, pertanto, manifestamente irragionevole la valutazione della commissione di gara che ha riconosciuto il punteggio massimo per l’offerente che aveva previsto il numero maggiore di postazioni, anche a prescindere dal numero degli addetti.</w:t>
      </w:r>
    </w:p>
    <w:p w14:paraId="2B209DD4" w14:textId="77777777" w:rsidR="007A23A6" w:rsidRDefault="007A23A6" w:rsidP="007A23A6"/>
    <w:p w14:paraId="1D539A12" w14:textId="77777777" w:rsidR="007A23A6" w:rsidRDefault="007A23A6" w:rsidP="007A23A6">
      <w:r>
        <w:lastRenderedPageBreak/>
        <w:t>3.7. – Infine, con il settimo motivo di appello, vengono formulate le seguenti domande: “Domanda di tutela in forma specifica. Istanza di subentro al contratto di concessione e formale dichiarazione di disponibilità della società BLS International a subentrare nella titolarità del rapporto negoziale medio tempore intercorso tra l’Ambasciata D’Italia in Iran e la società Rahyab Gozar Arta”.</w:t>
      </w:r>
    </w:p>
    <w:p w14:paraId="2B4A6607" w14:textId="77777777" w:rsidR="007A23A6" w:rsidRDefault="007A23A6" w:rsidP="007A23A6"/>
    <w:p w14:paraId="6038EAF0" w14:textId="77777777" w:rsidR="007A23A6" w:rsidRDefault="007A23A6" w:rsidP="007A23A6">
      <w:r>
        <w:t>L’infondatezza dei motivi precedenti conduce alla reiezione di tali domande, dovendosi escludere, in base alle precedenti motivazioni, l’illegittimità degli atti di affidamento della commessa in favore della controinteressata.</w:t>
      </w:r>
    </w:p>
    <w:p w14:paraId="0299F593" w14:textId="77777777" w:rsidR="007A23A6" w:rsidRDefault="007A23A6" w:rsidP="007A23A6"/>
    <w:p w14:paraId="676EA998" w14:textId="77777777" w:rsidR="007A23A6" w:rsidRDefault="007A23A6" w:rsidP="007A23A6">
      <w:r>
        <w:t>4. – Le spese del presente grado seguono la soccombenza e si liquidano come da dispositivo.</w:t>
      </w:r>
    </w:p>
    <w:p w14:paraId="1B6D17F8" w14:textId="77777777" w:rsidR="007A23A6" w:rsidRDefault="007A23A6" w:rsidP="007A23A6"/>
    <w:p w14:paraId="433D5737" w14:textId="77777777" w:rsidR="007A23A6" w:rsidRDefault="007A23A6" w:rsidP="007A23A6">
      <w:r>
        <w:t>P.Q.M.</w:t>
      </w:r>
    </w:p>
    <w:p w14:paraId="2347B5D2" w14:textId="77777777" w:rsidR="007A23A6" w:rsidRDefault="007A23A6" w:rsidP="007A23A6"/>
    <w:p w14:paraId="1116EECB" w14:textId="77777777" w:rsidR="007A23A6" w:rsidRDefault="007A23A6" w:rsidP="007A23A6">
      <w:r>
        <w:t>Il Consiglio di Stato in sede giurisdizionale, Sezione quinta, definitivamente pronunciando,</w:t>
      </w:r>
    </w:p>
    <w:p w14:paraId="37D38962" w14:textId="77777777" w:rsidR="007A23A6" w:rsidRDefault="007A23A6" w:rsidP="007A23A6"/>
    <w:p w14:paraId="494A51D0" w14:textId="77777777" w:rsidR="007A23A6" w:rsidRDefault="007A23A6" w:rsidP="007A23A6">
      <w:r>
        <w:t>Respinge l’appello.</w:t>
      </w:r>
    </w:p>
    <w:p w14:paraId="433170E7" w14:textId="77777777" w:rsidR="007A23A6" w:rsidRDefault="007A23A6" w:rsidP="007A23A6"/>
    <w:p w14:paraId="5AC52DAD" w14:textId="77777777" w:rsidR="007A23A6" w:rsidRDefault="007A23A6" w:rsidP="007A23A6">
      <w:r>
        <w:t>Condanna la parte appellante alla refusione delle spese del grado, liquidate in euro 5.000,00 (cinquemila/00) in favore di ciascuna delle controparti costituite, per un totale di euro 10.000,00 (diecimila/00).</w:t>
      </w:r>
    </w:p>
    <w:p w14:paraId="597624EE" w14:textId="77777777" w:rsidR="007A23A6" w:rsidRDefault="007A23A6" w:rsidP="007A23A6"/>
    <w:p w14:paraId="2473AB8F" w14:textId="77777777" w:rsidR="007A23A6" w:rsidRDefault="007A23A6" w:rsidP="007A23A6">
      <w:r>
        <w:t>Ordina che la presente sentenza sia eseguita dall'autorità amministrativa.</w:t>
      </w:r>
    </w:p>
    <w:p w14:paraId="04895269" w14:textId="77777777" w:rsidR="007A23A6" w:rsidRDefault="007A23A6" w:rsidP="007A23A6"/>
    <w:p w14:paraId="232B483C" w14:textId="77777777" w:rsidR="007A23A6" w:rsidRDefault="007A23A6" w:rsidP="007A23A6">
      <w:r>
        <w:t>Così deciso in Roma nella camera di consiglio del giorno 18 gennaio 2024 con l'intervento dei magistrati:</w:t>
      </w:r>
    </w:p>
    <w:p w14:paraId="4E7EE137" w14:textId="77777777" w:rsidR="007A23A6" w:rsidRDefault="007A23A6" w:rsidP="007A23A6"/>
    <w:p w14:paraId="7492D664" w14:textId="77777777" w:rsidR="007A23A6" w:rsidRDefault="007A23A6" w:rsidP="007A23A6">
      <w:r>
        <w:t>Rosanna De Nictolis, Presidente</w:t>
      </w:r>
    </w:p>
    <w:p w14:paraId="4037AB3F" w14:textId="77777777" w:rsidR="007A23A6" w:rsidRDefault="007A23A6" w:rsidP="007A23A6"/>
    <w:p w14:paraId="32B15F89" w14:textId="77777777" w:rsidR="007A23A6" w:rsidRDefault="007A23A6" w:rsidP="007A23A6">
      <w:r>
        <w:t>Stefano Fantini, Consigliere</w:t>
      </w:r>
    </w:p>
    <w:p w14:paraId="59AAE7D4" w14:textId="77777777" w:rsidR="007A23A6" w:rsidRDefault="007A23A6" w:rsidP="007A23A6"/>
    <w:p w14:paraId="0C8CA0C9" w14:textId="77777777" w:rsidR="007A23A6" w:rsidRDefault="007A23A6" w:rsidP="007A23A6">
      <w:r>
        <w:t>Alberto Urso, Consigliere</w:t>
      </w:r>
    </w:p>
    <w:p w14:paraId="0A0100A9" w14:textId="77777777" w:rsidR="007A23A6" w:rsidRDefault="007A23A6" w:rsidP="007A23A6"/>
    <w:p w14:paraId="63830B5D" w14:textId="77777777" w:rsidR="007A23A6" w:rsidRDefault="007A23A6" w:rsidP="007A23A6">
      <w:r>
        <w:t>Sara Raffaella Molinaro, Consigliere</w:t>
      </w:r>
    </w:p>
    <w:p w14:paraId="3557E2ED" w14:textId="77777777" w:rsidR="007A23A6" w:rsidRDefault="007A23A6" w:rsidP="007A23A6"/>
    <w:p w14:paraId="07A96668" w14:textId="77777777" w:rsidR="007A23A6" w:rsidRDefault="007A23A6" w:rsidP="007A23A6">
      <w:r>
        <w:t>Antonino Masaracchia, Consigliere, Estensore</w:t>
      </w:r>
    </w:p>
    <w:p w14:paraId="08CA6220" w14:textId="77777777" w:rsidR="007A23A6" w:rsidRDefault="007A23A6" w:rsidP="007A23A6"/>
    <w:p w14:paraId="57231DE5" w14:textId="77777777" w:rsidR="007A23A6" w:rsidRDefault="007A23A6" w:rsidP="007A23A6">
      <w:r>
        <w:t xml:space="preserve"> </w:t>
      </w:r>
      <w:r>
        <w:tab/>
      </w:r>
      <w:r>
        <w:tab/>
      </w:r>
    </w:p>
    <w:p w14:paraId="793EC3D6" w14:textId="77777777" w:rsidR="007A23A6" w:rsidRDefault="007A23A6" w:rsidP="007A23A6">
      <w:r>
        <w:t xml:space="preserve"> </w:t>
      </w:r>
      <w:r>
        <w:tab/>
      </w:r>
      <w:r>
        <w:tab/>
      </w:r>
    </w:p>
    <w:p w14:paraId="77EBED4A" w14:textId="77777777" w:rsidR="007A23A6" w:rsidRDefault="007A23A6" w:rsidP="007A23A6">
      <w:r>
        <w:t>L'ESTENSORE</w:t>
      </w:r>
      <w:r>
        <w:tab/>
      </w:r>
      <w:r>
        <w:tab/>
        <w:t>IL PRESIDENTE</w:t>
      </w:r>
    </w:p>
    <w:p w14:paraId="30FB1629" w14:textId="77777777" w:rsidR="007A23A6" w:rsidRDefault="007A23A6" w:rsidP="007A23A6">
      <w:r>
        <w:t>Antonino Masaracchia</w:t>
      </w:r>
      <w:r>
        <w:tab/>
      </w:r>
      <w:r>
        <w:tab/>
        <w:t>Rosanna De Nictolis</w:t>
      </w:r>
    </w:p>
    <w:p w14:paraId="2B8DFA7D" w14:textId="77777777" w:rsidR="007A23A6" w:rsidRDefault="007A23A6" w:rsidP="007A23A6">
      <w:r>
        <w:t xml:space="preserve"> </w:t>
      </w:r>
      <w:r>
        <w:tab/>
      </w:r>
      <w:r>
        <w:tab/>
      </w:r>
    </w:p>
    <w:p w14:paraId="00CF4DDA" w14:textId="77777777" w:rsidR="007A23A6" w:rsidRDefault="007A23A6" w:rsidP="007A23A6">
      <w:r>
        <w:t xml:space="preserve"> </w:t>
      </w:r>
      <w:r>
        <w:tab/>
      </w:r>
      <w:r>
        <w:tab/>
      </w:r>
    </w:p>
    <w:p w14:paraId="2BEA5FC4" w14:textId="77777777" w:rsidR="007A23A6" w:rsidRDefault="007A23A6" w:rsidP="007A23A6">
      <w:r>
        <w:t xml:space="preserve"> </w:t>
      </w:r>
      <w:r>
        <w:tab/>
      </w:r>
      <w:r>
        <w:tab/>
      </w:r>
    </w:p>
    <w:p w14:paraId="5968A530" w14:textId="77777777" w:rsidR="007A23A6" w:rsidRDefault="007A23A6" w:rsidP="007A23A6">
      <w:r>
        <w:t xml:space="preserve"> </w:t>
      </w:r>
      <w:r>
        <w:tab/>
      </w:r>
      <w:r>
        <w:tab/>
      </w:r>
    </w:p>
    <w:p w14:paraId="1E96169E" w14:textId="77777777" w:rsidR="007A23A6" w:rsidRDefault="007A23A6" w:rsidP="007A23A6">
      <w:r>
        <w:t xml:space="preserve"> </w:t>
      </w:r>
      <w:r>
        <w:tab/>
      </w:r>
      <w:r>
        <w:tab/>
      </w:r>
    </w:p>
    <w:p w14:paraId="7EEE640A" w14:textId="77777777" w:rsidR="007A23A6" w:rsidRDefault="007A23A6" w:rsidP="007A23A6">
      <w:r>
        <w:t>IL SEGRETARIO</w:t>
      </w:r>
    </w:p>
    <w:p w14:paraId="1A80E020" w14:textId="77777777" w:rsidR="007A23A6" w:rsidRDefault="007A23A6" w:rsidP="007A23A6"/>
    <w:p w14:paraId="48D2E257" w14:textId="77777777" w:rsidR="004146EF" w:rsidRDefault="004146EF">
      <w:bookmarkStart w:id="0" w:name="_GoBack"/>
      <w:bookmarkEnd w:id="0"/>
    </w:p>
    <w:sectPr w:rsidR="004146E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6EF"/>
    <w:rsid w:val="004146EF"/>
    <w:rsid w:val="007A23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BDF7F0-B309-4836-BDE7-2AFC1B090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3933</Words>
  <Characters>22419</Characters>
  <Application>Microsoft Office Word</Application>
  <DocSecurity>0</DocSecurity>
  <Lines>186</Lines>
  <Paragraphs>52</Paragraphs>
  <ScaleCrop>false</ScaleCrop>
  <Company/>
  <LinksUpToDate>false</LinksUpToDate>
  <CharactersWithSpaces>26300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2024-06-25T08:55:00Z</dcterms:created>
  <dcterms:modified xsi:type="dcterms:W3CDTF">2024-06-25T08:55:00Z</dcterms:modified>
</cp:coreProperties>
</file>