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8C18D4" w14:textId="77777777" w:rsidR="00EF1BD3" w:rsidRDefault="00EF1BD3" w:rsidP="00EF1BD3">
      <w:r>
        <w:t>Pubblicato il 18/09/2024</w:t>
      </w:r>
    </w:p>
    <w:p w14:paraId="39A13EF4" w14:textId="77777777" w:rsidR="00EF1BD3" w:rsidRDefault="00EF1BD3" w:rsidP="00EF1BD3">
      <w:r>
        <w:t>N. 00986/2024 REG.PROV.COLL.</w:t>
      </w:r>
    </w:p>
    <w:p w14:paraId="79F8EA7B" w14:textId="77777777" w:rsidR="00EF1BD3" w:rsidRDefault="00EF1BD3" w:rsidP="00EF1BD3"/>
    <w:p w14:paraId="5D487AB3" w14:textId="77777777" w:rsidR="00EF1BD3" w:rsidRDefault="00EF1BD3" w:rsidP="00EF1BD3">
      <w:r>
        <w:t>N. 00256/2024 REG.RIC.</w:t>
      </w:r>
    </w:p>
    <w:p w14:paraId="40981558" w14:textId="77777777" w:rsidR="00EF1BD3" w:rsidRDefault="00EF1BD3" w:rsidP="00EF1BD3"/>
    <w:p w14:paraId="2577B586" w14:textId="77777777" w:rsidR="00EF1BD3" w:rsidRDefault="00EF1BD3" w:rsidP="00EF1BD3"/>
    <w:p w14:paraId="7C7BA660" w14:textId="77777777" w:rsidR="00EF1BD3" w:rsidRDefault="00EF1BD3" w:rsidP="00EF1BD3"/>
    <w:p w14:paraId="2EAAA2C4" w14:textId="77777777" w:rsidR="00EF1BD3" w:rsidRDefault="00EF1BD3" w:rsidP="00EF1BD3">
      <w:r>
        <w:t>REPUBBLICA ITALIANA</w:t>
      </w:r>
    </w:p>
    <w:p w14:paraId="633316A3" w14:textId="77777777" w:rsidR="00EF1BD3" w:rsidRDefault="00EF1BD3" w:rsidP="00EF1BD3"/>
    <w:p w14:paraId="39F85876" w14:textId="77777777" w:rsidR="00EF1BD3" w:rsidRDefault="00EF1BD3" w:rsidP="00EF1BD3">
      <w:r>
        <w:t>IN NOME DEL POPOLO ITALIANO</w:t>
      </w:r>
    </w:p>
    <w:p w14:paraId="07667A44" w14:textId="77777777" w:rsidR="00EF1BD3" w:rsidRDefault="00EF1BD3" w:rsidP="00EF1BD3"/>
    <w:p w14:paraId="016D3C8D" w14:textId="77777777" w:rsidR="00EF1BD3" w:rsidRDefault="00EF1BD3" w:rsidP="00EF1BD3">
      <w:r>
        <w:t>Il Tribunale Amministrativo Regionale per la Puglia</w:t>
      </w:r>
    </w:p>
    <w:p w14:paraId="56B8A964" w14:textId="77777777" w:rsidR="00EF1BD3" w:rsidRDefault="00EF1BD3" w:rsidP="00EF1BD3"/>
    <w:p w14:paraId="054735B4" w14:textId="77777777" w:rsidR="00EF1BD3" w:rsidRDefault="00EF1BD3" w:rsidP="00EF1BD3">
      <w:r>
        <w:t>(Sezione Seconda)</w:t>
      </w:r>
    </w:p>
    <w:p w14:paraId="17E3E733" w14:textId="77777777" w:rsidR="00EF1BD3" w:rsidRDefault="00EF1BD3" w:rsidP="00EF1BD3"/>
    <w:p w14:paraId="1D295AD5" w14:textId="77777777" w:rsidR="00EF1BD3" w:rsidRDefault="00EF1BD3" w:rsidP="00EF1BD3">
      <w:r>
        <w:t>ha pronunciato la presente</w:t>
      </w:r>
    </w:p>
    <w:p w14:paraId="568E65E9" w14:textId="77777777" w:rsidR="00EF1BD3" w:rsidRDefault="00EF1BD3" w:rsidP="00EF1BD3"/>
    <w:p w14:paraId="2FE86EE4" w14:textId="77777777" w:rsidR="00EF1BD3" w:rsidRDefault="00EF1BD3" w:rsidP="00EF1BD3">
      <w:r>
        <w:t>SENTENZA</w:t>
      </w:r>
    </w:p>
    <w:p w14:paraId="02F2F31A" w14:textId="77777777" w:rsidR="00EF1BD3" w:rsidRDefault="00EF1BD3" w:rsidP="00EF1BD3"/>
    <w:p w14:paraId="3D64F0DB" w14:textId="77777777" w:rsidR="00EF1BD3" w:rsidRDefault="00EF1BD3" w:rsidP="00EF1BD3">
      <w:r>
        <w:t>sul ricorso numero di registro generale 256 del 2024, proposto da COM S.c.r.l., in persona del legale rappresentante p. t., rappresentata e difesa dall’avv. Michele Dionigi, con domicilio eletto in Bari, via De Rossi n. 190, e domicilio digitale p.e.c., come da Registri di Giustizia,</w:t>
      </w:r>
    </w:p>
    <w:p w14:paraId="6478D52E" w14:textId="77777777" w:rsidR="00EF1BD3" w:rsidRDefault="00EF1BD3" w:rsidP="00EF1BD3">
      <w:r>
        <w:t>contro</w:t>
      </w:r>
    </w:p>
    <w:p w14:paraId="0A972B78" w14:textId="77777777" w:rsidR="00EF1BD3" w:rsidRDefault="00EF1BD3" w:rsidP="00EF1BD3"/>
    <w:p w14:paraId="646B4154" w14:textId="77777777" w:rsidR="00EF1BD3" w:rsidRDefault="00EF1BD3" w:rsidP="00EF1BD3">
      <w:r>
        <w:t>Agenzia Regionale per la tecnologia e l’Innovazione - ARTI Puglia, in persona del legale rappresentante p. t., rappresentata e difesa dall’avv. Giuseppe Cozzi, presso il cui studio elegge domicilio in Bari, via Piccinni n. 128, con domicilio digitale p.e.c., come da Registri di Giustizia,</w:t>
      </w:r>
    </w:p>
    <w:p w14:paraId="01B63033" w14:textId="77777777" w:rsidR="00EF1BD3" w:rsidRDefault="00EF1BD3" w:rsidP="00EF1BD3">
      <w:r>
        <w:t>Regione Puglia, in persona del Presidente p. t., non costituita in giudizio;</w:t>
      </w:r>
    </w:p>
    <w:p w14:paraId="4563D198" w14:textId="77777777" w:rsidR="00EF1BD3" w:rsidRDefault="00EF1BD3" w:rsidP="00EF1BD3">
      <w:r>
        <w:t>nei confronti</w:t>
      </w:r>
    </w:p>
    <w:p w14:paraId="216C8F7C" w14:textId="77777777" w:rsidR="00EF1BD3" w:rsidRDefault="00EF1BD3" w:rsidP="00EF1BD3"/>
    <w:p w14:paraId="5CC95BAA" w14:textId="77777777" w:rsidR="00EF1BD3" w:rsidRDefault="00EF1BD3" w:rsidP="00EF1BD3">
      <w:r>
        <w:t>Ganglicom S.r.l., in persona del legale rappresentante p. t., rappresentata e difesa dagli avvocati Michele Guzzo, Domenico Tomassetti e Claudio Tuveri, con domicilio digitale p.e.c., come da Registri di Giustizia,</w:t>
      </w:r>
    </w:p>
    <w:p w14:paraId="33CE7DDF" w14:textId="77777777" w:rsidR="00EF1BD3" w:rsidRDefault="00EF1BD3" w:rsidP="00EF1BD3">
      <w:r>
        <w:t>per l'annullamento</w:t>
      </w:r>
    </w:p>
    <w:p w14:paraId="13BFAA2F" w14:textId="77777777" w:rsidR="00EF1BD3" w:rsidRDefault="00EF1BD3" w:rsidP="00EF1BD3"/>
    <w:p w14:paraId="3AF07C34" w14:textId="77777777" w:rsidR="00EF1BD3" w:rsidRDefault="00EF1BD3" w:rsidP="00EF1BD3">
      <w:r>
        <w:t>previa sospensione cautelare</w:t>
      </w:r>
    </w:p>
    <w:p w14:paraId="36D9BA65" w14:textId="77777777" w:rsidR="00EF1BD3" w:rsidRDefault="00EF1BD3" w:rsidP="00EF1BD3"/>
    <w:p w14:paraId="59D096EC" w14:textId="77777777" w:rsidR="00EF1BD3" w:rsidRDefault="00EF1BD3" w:rsidP="00EF1BD3">
      <w:r>
        <w:t>dei seguenti atti: a) la Determinazione n. 32 del 31.01.2024, avente a oggetto l’aggiudicazione definitiva della gara denominata “Procedura negoziata, ai sensi dell’art.1, comma 2, lett. b) del d.l. n.76/2020, convertito con modificazioni dalla legge n.120/2020, per l’affidamento di servizi di content management, social media management e realizzazione di prodotti multimediali per Galattica – Rete Giovani Puglia. CIG 9938881011 – CUP: I34H22001010003”; b) il verbale della Commissione di gara n. 8 del 08.01.2024, recante proposta di aggiudicazione; c) la nota prot. n. 1556 del 22.12.2023 a firma del R.U.P.; d) la nota della Commissione di gara del 30.01.2024, recante rigetto dell’istanza di annullamento in autotutela degli esiti del procedimento di anomalia; e) ogni altro atto a questi connesso, conseguente o presupposto, ancorché non conosciuto, ivi compresi, nei limiti dell’interesse della ricorrente, tutti i verbali di gara e tutti gli atti del sub-procedimento di verifica dell’anomalia dell’offerta; nonché per il risarcimento del danno in forma specifica, e in subordine, per equivalente (danno emergente, lucro cessante e danno curriculare), nella misura che sarà dimostrata in corso di causa, per la denegata ipotesi di mancato subentro; ed altresì, per la dichiarazione di inefficacia o per l’annullamento, con conseguente caducazione, del contratto, ove medio tempore stipulato, come effetto consequenziale dell’annullamento degli atti impugnati, con espressa richiesta di subentro, previa declaratoria del diritto della società ricorrente a conseguire l’aggiudicazione;</w:t>
      </w:r>
    </w:p>
    <w:p w14:paraId="323ABA98" w14:textId="77777777" w:rsidR="00EF1BD3" w:rsidRDefault="00EF1BD3" w:rsidP="00EF1BD3"/>
    <w:p w14:paraId="1215316A" w14:textId="77777777" w:rsidR="00EF1BD3" w:rsidRDefault="00EF1BD3" w:rsidP="00EF1BD3"/>
    <w:p w14:paraId="52155AF7" w14:textId="77777777" w:rsidR="00EF1BD3" w:rsidRDefault="00EF1BD3" w:rsidP="00EF1BD3">
      <w:r>
        <w:t>Visti il ricorso e i relativi allegati;</w:t>
      </w:r>
    </w:p>
    <w:p w14:paraId="184F9D0F" w14:textId="77777777" w:rsidR="00EF1BD3" w:rsidRDefault="00EF1BD3" w:rsidP="00EF1BD3"/>
    <w:p w14:paraId="41490E6F" w14:textId="77777777" w:rsidR="00EF1BD3" w:rsidRDefault="00EF1BD3" w:rsidP="00EF1BD3">
      <w:r>
        <w:t>Visti gli atti di costituzione in giudizio di A.R.T.I. – Agenzia regionale per la tecnologia e l'innovazione e di Ganglicom S.r.l.;</w:t>
      </w:r>
    </w:p>
    <w:p w14:paraId="2ABB84D4" w14:textId="77777777" w:rsidR="00EF1BD3" w:rsidRDefault="00EF1BD3" w:rsidP="00EF1BD3"/>
    <w:p w14:paraId="76E37DF2" w14:textId="77777777" w:rsidR="00EF1BD3" w:rsidRDefault="00EF1BD3" w:rsidP="00EF1BD3">
      <w:r>
        <w:t>Visti tutti gli atti della causa;</w:t>
      </w:r>
    </w:p>
    <w:p w14:paraId="1063B151" w14:textId="77777777" w:rsidR="00EF1BD3" w:rsidRDefault="00EF1BD3" w:rsidP="00EF1BD3"/>
    <w:p w14:paraId="5B962267" w14:textId="77777777" w:rsidR="00EF1BD3" w:rsidRDefault="00EF1BD3" w:rsidP="00EF1BD3">
      <w:r>
        <w:t>Visti gli artt. 74 e 120 cod. proc. amm.;</w:t>
      </w:r>
    </w:p>
    <w:p w14:paraId="29B2A92E" w14:textId="77777777" w:rsidR="00EF1BD3" w:rsidRDefault="00EF1BD3" w:rsidP="00EF1BD3"/>
    <w:p w14:paraId="4611026E" w14:textId="77777777" w:rsidR="00EF1BD3" w:rsidRDefault="00EF1BD3" w:rsidP="00EF1BD3">
      <w:r>
        <w:t>Relatore, nell'udienza pubblica del giorno 17 settembre 2024, il dott. Orazio Ciliberti e uditi l'avv. Alessandra Quatela, su delega orale dell'avv. Michele Dionigi, per la ricorrente, nonché l'avv. Giuseppe Cozzi, per l'Agenzia regionale;</w:t>
      </w:r>
    </w:p>
    <w:p w14:paraId="1597230F" w14:textId="77777777" w:rsidR="00EF1BD3" w:rsidRDefault="00EF1BD3" w:rsidP="00EF1BD3"/>
    <w:p w14:paraId="6228BBE8" w14:textId="77777777" w:rsidR="00EF1BD3" w:rsidRDefault="00EF1BD3" w:rsidP="00EF1BD3">
      <w:r>
        <w:t>Ritenuto e considerato, in fatto e diritto, quanto segue.</w:t>
      </w:r>
    </w:p>
    <w:p w14:paraId="4FBD9BBB" w14:textId="77777777" w:rsidR="00EF1BD3" w:rsidRDefault="00EF1BD3" w:rsidP="00EF1BD3"/>
    <w:p w14:paraId="380C36B7" w14:textId="77777777" w:rsidR="00EF1BD3" w:rsidRDefault="00EF1BD3" w:rsidP="00EF1BD3"/>
    <w:p w14:paraId="479BE5E5" w14:textId="77777777" w:rsidR="00EF1BD3" w:rsidRDefault="00EF1BD3" w:rsidP="00EF1BD3">
      <w:r>
        <w:t>FATTO e DIRITTO</w:t>
      </w:r>
    </w:p>
    <w:p w14:paraId="42CF4CBF" w14:textId="77777777" w:rsidR="00EF1BD3" w:rsidRDefault="00EF1BD3" w:rsidP="00EF1BD3"/>
    <w:p w14:paraId="25C00AF6" w14:textId="77777777" w:rsidR="00EF1BD3" w:rsidRDefault="00EF1BD3" w:rsidP="00EF1BD3">
      <w:r>
        <w:lastRenderedPageBreak/>
        <w:t>I - Con bando di gara (CIG 9938881011) del 30.06.2023, nell’ambito delle attività oggetto di specifico accordo con la Regione Puglia - Dipartimento Sviluppo economico – Sezioni giovanili, l’ARTI indiceva procedura aperta ex art. 60, comma 1, e art. 54, comma 4 lett. a), del d.lgs. n. 50/2016, da aggiudicarsi con il criterio dell’offerta economicamente più vantaggiosa, sulla base del miglior rapporto qualità-prezzo, denominata “Procedura negoziata, ai sensi dell’art.1, comma 2, lett. b) del d.l. n.76/2020, convertito con modificazioni dalla legge n.120/2020, per l’affidamento di servizi di content management, social media management e realizzazione di prodotti multimediali per Galattica – Rete Giovani Puglia”.</w:t>
      </w:r>
    </w:p>
    <w:p w14:paraId="53715575" w14:textId="77777777" w:rsidR="00EF1BD3" w:rsidRDefault="00EF1BD3" w:rsidP="00EF1BD3"/>
    <w:p w14:paraId="3DE85E64" w14:textId="77777777" w:rsidR="00EF1BD3" w:rsidRDefault="00EF1BD3" w:rsidP="00EF1BD3">
      <w:r>
        <w:t>Nel termine prestabilito del 14.07.2023, pervenivano n. 17 offerte, tra le quali quella della società ricorrente e, in data 17.07.2023, il R.U.P. procedeva, in via telematica, all’apertura delle buste amministrative, per la verifica delle dichiarazioni e dei documenti caricati dagli operatori economici.</w:t>
      </w:r>
    </w:p>
    <w:p w14:paraId="167A09F5" w14:textId="77777777" w:rsidR="00EF1BD3" w:rsidRDefault="00EF1BD3" w:rsidP="00EF1BD3"/>
    <w:p w14:paraId="62DCB77F" w14:textId="77777777" w:rsidR="00EF1BD3" w:rsidRDefault="00EF1BD3" w:rsidP="00EF1BD3">
      <w:r>
        <w:t>In data 18.09.2023, venivano aperte tutte le offerte tecniche, delle quali solo 15 erano riscontrate come regolari e ammesse alla fase successiva.</w:t>
      </w:r>
    </w:p>
    <w:p w14:paraId="48786584" w14:textId="77777777" w:rsidR="00EF1BD3" w:rsidRDefault="00EF1BD3" w:rsidP="00EF1BD3"/>
    <w:p w14:paraId="4DDB65C0" w14:textId="77777777" w:rsidR="00EF1BD3" w:rsidRDefault="00EF1BD3" w:rsidP="00EF1BD3">
      <w:r>
        <w:t>All’esito delle operazioni di gara, nella graduatoria stilata, in base ai punteggi dell’offerta tecnica, ai primi due posti si classificavano la Ganglicom S.r.l., odierna controinteressata, e la ricorrente COM S.c.r.l., con punteggi, rispettivamente, di 67,66 e 66,18. Per quanto riguarda l’offerta economica, la Ganglicom S.r.l. offriva €. 81.300,00 (dei quali €. 39.580,00 per il costo del personale), mentre la COM S.c.r.l. offriva €. 109.800,00 (dei quali €. 84.400,00 per il costo del personale), risultandone, così, i seguenti punteggi complessivi: Ganglicom S.r.l. 87,66 punti (prima classificata); COM S.c.r.l. 80,99 punti (seconda classificata).</w:t>
      </w:r>
    </w:p>
    <w:p w14:paraId="74DB46B2" w14:textId="77777777" w:rsidR="00EF1BD3" w:rsidRDefault="00EF1BD3" w:rsidP="00EF1BD3"/>
    <w:p w14:paraId="1B34139A" w14:textId="77777777" w:rsidR="00EF1BD3" w:rsidRDefault="00EF1BD3" w:rsidP="00EF1BD3">
      <w:r>
        <w:t>Con istanza del 27.11.2023, la COM S.c.r.l. chiedeva di accedere agli atti di gara che, tuttavia, non venivano ostesi nell’immediatezza. In data 12.12.2023, il RUP inviava alla Ganglicom S.r.l. una richiesta di giustificazioni per la valutazione della congruità dell’offerta, risultata sospetta di anomalia.</w:t>
      </w:r>
    </w:p>
    <w:p w14:paraId="37E0B504" w14:textId="77777777" w:rsidR="00EF1BD3" w:rsidRDefault="00EF1BD3" w:rsidP="00EF1BD3"/>
    <w:p w14:paraId="428D2B87" w14:textId="77777777" w:rsidR="00EF1BD3" w:rsidRDefault="00EF1BD3" w:rsidP="00EF1BD3">
      <w:r>
        <w:t>Con nota del 13.12.2023, la Ganglicom riscontrava la richiesta fornendo le sue giustificazioni al ribasso offerto. Due giorni dopo, presentava a integrazione delle giustificazioni un’ulteriore relazione, recante l’indicazione di un nuovo “costo del personale”, passato da € 39.580,00 ad € 63.320,00.</w:t>
      </w:r>
    </w:p>
    <w:p w14:paraId="3CCBA20D" w14:textId="77777777" w:rsidR="00EF1BD3" w:rsidRDefault="00EF1BD3" w:rsidP="00EF1BD3"/>
    <w:p w14:paraId="6B14958D" w14:textId="77777777" w:rsidR="00EF1BD3" w:rsidRDefault="00EF1BD3" w:rsidP="00EF1BD3">
      <w:r>
        <w:t>In data 27.12.2023, dopo un mese dalla richiesta, giusta nota prot. PE105694-23 a firma del R.U.P. e dopo che la Commissione si era espressa sulla congruità dell’offerta presentata da Ganglicom S.r.l., venivano resi ostensibili alla COM S.c.r.l. gli atti richiesti con istanza del 27.11.2023.</w:t>
      </w:r>
    </w:p>
    <w:p w14:paraId="0FBA3158" w14:textId="77777777" w:rsidR="00EF1BD3" w:rsidRDefault="00EF1BD3" w:rsidP="00EF1BD3"/>
    <w:p w14:paraId="7503BED4" w14:textId="77777777" w:rsidR="00EF1BD3" w:rsidRDefault="00EF1BD3" w:rsidP="00EF1BD3">
      <w:r>
        <w:t>Con istanza del 10.01.2024, la COM S.c.r.l. presentava istanza di riattivazione della procedura di valutazione dell’anomalia, nonché di annullamento in autotutela dell’aggiudicazione</w:t>
      </w:r>
    </w:p>
    <w:p w14:paraId="2BBCBE42" w14:textId="77777777" w:rsidR="00EF1BD3" w:rsidRDefault="00EF1BD3" w:rsidP="00EF1BD3"/>
    <w:p w14:paraId="02DBAB8B" w14:textId="77777777" w:rsidR="00EF1BD3" w:rsidRDefault="00EF1BD3" w:rsidP="00EF1BD3">
      <w:r>
        <w:t>Con nota del 30.01.2024, la Commissione di gara comunicava alla ricorrente società COM il non accoglimento dell’istanza di autotutela.</w:t>
      </w:r>
    </w:p>
    <w:p w14:paraId="4050A480" w14:textId="77777777" w:rsidR="00EF1BD3" w:rsidRDefault="00EF1BD3" w:rsidP="00EF1BD3"/>
    <w:p w14:paraId="70C39465" w14:textId="77777777" w:rsidR="00EF1BD3" w:rsidRDefault="00EF1BD3" w:rsidP="00EF1BD3">
      <w:r>
        <w:t>Con determinazione dirigenziale rep. n. 32 del 31.01.2024, la Stazione appaltante procedeva all’aggiudicazione definitiva della procedura negoziata all’operatore economico primo classificato, odierno controinteressato.</w:t>
      </w:r>
    </w:p>
    <w:p w14:paraId="1A20EBFE" w14:textId="77777777" w:rsidR="00EF1BD3" w:rsidRDefault="00EF1BD3" w:rsidP="00EF1BD3"/>
    <w:p w14:paraId="7C0A2824" w14:textId="77777777" w:rsidR="00EF1BD3" w:rsidRDefault="00EF1BD3" w:rsidP="00EF1BD3">
      <w:r>
        <w:t>La ricorrente insorge, con il ricorso notificato e depositato il 29.02.2024, per impugnare gli atti in epigrafe indicati. Chiede altresì il risarcimento del danno in forma specifica, e in subordine, per equivalente (danno emergente, lucro cessante e danno curriculare), nella misura che sarà dimostrata in corso di causa, per la denegata ipotesi di mancato subentro, nonché la dichiarazione di inefficacia o la caducazione, del contratto, ove medio tempore stipulato, con subentro della ricorrente, previa declaratoria del suo diritto a conseguire l’aggiudicazione.</w:t>
      </w:r>
    </w:p>
    <w:p w14:paraId="2CB2E81D" w14:textId="77777777" w:rsidR="00EF1BD3" w:rsidRDefault="00EF1BD3" w:rsidP="00EF1BD3"/>
    <w:p w14:paraId="667F5DE6" w14:textId="77777777" w:rsidR="00EF1BD3" w:rsidRDefault="00EF1BD3" w:rsidP="00EF1BD3">
      <w:r>
        <w:t>Deduce i seguenti motivi di diritto: 1) violazione e falsa applicazione di legge (art. 95 e 97 d.lgs. n. 50/2016); violazione del principio di non modificabilità dell’offerta; eccesso di potere per difetto di presupposto e di istruttoria, nonché per travisamento e illogicità; violazione principio di trasparenza e della par condicio; violazione di legge (art. 97 Costituzione); violazione di legge (art. 3 legge n. 241/1990) difetto di motivazione; 2) violazione e falsa applicazione di legge (art. 95 e 97 d.lgs. n. 50/2016); eccesso di potere per difetto di presupposto e di istruttoria, nonché per travisamento e illogicità; violazione principio di trasparenza e della par condicio; violazione di legge (art. 97 Costituzione); violazione di legge (art. 3 legge n. 241/1990) difetto di motivazione; 3) violazione e falsa applicazione di legge (art. 95 e 97 d.lgs. n. 50/2016); eccesso di potere per difetto di presupposto e di istruttoria, nonché per travisamento e illogicità; violazione principio di trasparenza e della par condicio, violazione di legge (art. 97 Costituzione); violazione di legge (art. 3 legge n. 241/1990), difetto di motivazione).</w:t>
      </w:r>
    </w:p>
    <w:p w14:paraId="3F4237B1" w14:textId="77777777" w:rsidR="00EF1BD3" w:rsidRDefault="00EF1BD3" w:rsidP="00EF1BD3"/>
    <w:p w14:paraId="6A5F53CB" w14:textId="77777777" w:rsidR="00EF1BD3" w:rsidRDefault="00EF1BD3" w:rsidP="00EF1BD3">
      <w:r>
        <w:t>Si costituisce la società controinteressata, per resistere nel giudizio.</w:t>
      </w:r>
    </w:p>
    <w:p w14:paraId="661E926C" w14:textId="77777777" w:rsidR="00EF1BD3" w:rsidRDefault="00EF1BD3" w:rsidP="00EF1BD3"/>
    <w:p w14:paraId="3DE426DB" w14:textId="77777777" w:rsidR="00EF1BD3" w:rsidRDefault="00EF1BD3" w:rsidP="00EF1BD3">
      <w:r>
        <w:t>Si costituisce altresì l’Agenzia regionale intimata per chiedere la reiezione del gravame.</w:t>
      </w:r>
    </w:p>
    <w:p w14:paraId="74B36F6E" w14:textId="77777777" w:rsidR="00EF1BD3" w:rsidRDefault="00EF1BD3" w:rsidP="00EF1BD3"/>
    <w:p w14:paraId="22C6C0EE" w14:textId="77777777" w:rsidR="00EF1BD3" w:rsidRDefault="00EF1BD3" w:rsidP="00EF1BD3">
      <w:r>
        <w:t>Con ordinanza collegiale n. 135 del 23.03.2024, questa Sezione respinge la domanda cautelare della ricorrente.</w:t>
      </w:r>
    </w:p>
    <w:p w14:paraId="3DE42894" w14:textId="77777777" w:rsidR="00EF1BD3" w:rsidRDefault="00EF1BD3" w:rsidP="00EF1BD3"/>
    <w:p w14:paraId="74F57F7E" w14:textId="77777777" w:rsidR="00EF1BD3" w:rsidRDefault="00EF1BD3" w:rsidP="00EF1BD3">
      <w:r>
        <w:t>Con successive memorie, le parti costituite ribadiscono e precisano, anche in replica, le rispettive deduzioni e conclusioni.</w:t>
      </w:r>
    </w:p>
    <w:p w14:paraId="0928FACA" w14:textId="77777777" w:rsidR="00EF1BD3" w:rsidRDefault="00EF1BD3" w:rsidP="00EF1BD3"/>
    <w:p w14:paraId="0429CE29" w14:textId="77777777" w:rsidR="00EF1BD3" w:rsidRDefault="00EF1BD3" w:rsidP="00EF1BD3">
      <w:r>
        <w:t>All’udienza pubblica del 17 settembre 2024, la causa è introitata per la decisione.</w:t>
      </w:r>
    </w:p>
    <w:p w14:paraId="52D6A5E7" w14:textId="77777777" w:rsidR="00EF1BD3" w:rsidRDefault="00EF1BD3" w:rsidP="00EF1BD3"/>
    <w:p w14:paraId="0FA772CD" w14:textId="77777777" w:rsidR="00EF1BD3" w:rsidRDefault="00EF1BD3" w:rsidP="00EF1BD3">
      <w:r>
        <w:t>II – Il ricorso è infondato in tutti i suoi motivi.</w:t>
      </w:r>
    </w:p>
    <w:p w14:paraId="25EBDAD2" w14:textId="77777777" w:rsidR="00EF1BD3" w:rsidRDefault="00EF1BD3" w:rsidP="00EF1BD3"/>
    <w:p w14:paraId="6436748B" w14:textId="77777777" w:rsidR="00EF1BD3" w:rsidRDefault="00EF1BD3" w:rsidP="00EF1BD3">
      <w:r>
        <w:lastRenderedPageBreak/>
        <w:t>II.1 – Con la prima censura, la ricorrente deduce l’asserita illegittimità dell’aggiudicazione per violazione del principio di non modificabilità dell’offerta, con riferimento ai costi della manodopera. Ciò in quanto l’aggiudicataria società Ganglicom, nell’offerta economica presentata in gara (per complessivi € 81.300,00), avrebbe dichiarato un costo del personale pari ad € 39.580,00, mentre, in sede di giustificativi, avrebbe rideterminato il suddetto costo in € 63.320,00.</w:t>
      </w:r>
    </w:p>
    <w:p w14:paraId="1821D290" w14:textId="77777777" w:rsidR="00EF1BD3" w:rsidRDefault="00EF1BD3" w:rsidP="00EF1BD3"/>
    <w:p w14:paraId="64979E86" w14:textId="77777777" w:rsidR="00EF1BD3" w:rsidRDefault="00EF1BD3" w:rsidP="00EF1BD3">
      <w:r>
        <w:t>La censura è infondata.</w:t>
      </w:r>
    </w:p>
    <w:p w14:paraId="27A96E12" w14:textId="77777777" w:rsidR="00EF1BD3" w:rsidRDefault="00EF1BD3" w:rsidP="00EF1BD3"/>
    <w:p w14:paraId="29F077E4" w14:textId="77777777" w:rsidR="00EF1BD3" w:rsidRDefault="00EF1BD3" w:rsidP="00EF1BD3">
      <w:r>
        <w:t>In primo luogo, occorre chiarire che il servizio oggetto di causa, come sottolineato dall’art. 1.1. della lettera di invito, “ha natura propriamente intellettuale”.</w:t>
      </w:r>
    </w:p>
    <w:p w14:paraId="09342705" w14:textId="77777777" w:rsidR="00EF1BD3" w:rsidRDefault="00EF1BD3" w:rsidP="00EF1BD3"/>
    <w:p w14:paraId="30C99F58" w14:textId="77777777" w:rsidR="00EF1BD3" w:rsidRDefault="00EF1BD3" w:rsidP="00EF1BD3">
      <w:r>
        <w:t>Come noto, per servizi di natura intellettuale si intendono “quelli che richiedono lo svolgimento di prestazioni professionali, svolte in via eminentemente personale, costituenti ideazione di soluzioni o elaborazione di pareri, prevalenti nel contesto della prestazione erogata rispetto alle attività materiali e all’organizzazione di mezzi e risorse” (cfr.: Cons. Stato, Sez. V, 21.02.2024 n. 1745; Idem, Sez. III, 28.10.2022, n. 9312; Idem, Sez. IV, 22.10.2021 n. 7094).</w:t>
      </w:r>
    </w:p>
    <w:p w14:paraId="41F2B31C" w14:textId="77777777" w:rsidR="00EF1BD3" w:rsidRDefault="00EF1BD3" w:rsidP="00EF1BD3"/>
    <w:p w14:paraId="16CDFF3C" w14:textId="77777777" w:rsidR="00EF1BD3" w:rsidRDefault="00EF1BD3" w:rsidP="00EF1BD3">
      <w:r>
        <w:t>La natura intellettuale del servizio esclude, ai sensi dell’art. 95, comma 10, del D.Lgs. n. 50/2016, l’onere di quantificazione del costo della manodopera.</w:t>
      </w:r>
    </w:p>
    <w:p w14:paraId="77C54DE7" w14:textId="77777777" w:rsidR="00EF1BD3" w:rsidRDefault="00EF1BD3" w:rsidP="00EF1BD3"/>
    <w:p w14:paraId="674A7E18" w14:textId="77777777" w:rsidR="00EF1BD3" w:rsidRDefault="00EF1BD3" w:rsidP="00EF1BD3">
      <w:r>
        <w:t>La giurisprudenza del Consiglio di Stato ha avuto modo di evidenziare che “in coerenza alla ratio dell’art. 95, comma 10, del codice dei contratti pubblici, ciò che differenzia la natura intellettuale di un’attività è l’impossibilità di una sua standardizzazione e, dunque, l’impossibilità di calcolarne il costo orario” (cfr.: Cons. Stato, Sez. V, 21.02.2022 n. 1234).</w:t>
      </w:r>
    </w:p>
    <w:p w14:paraId="2FD43D34" w14:textId="77777777" w:rsidR="00EF1BD3" w:rsidRDefault="00EF1BD3" w:rsidP="00EF1BD3"/>
    <w:p w14:paraId="7C3CCF99" w14:textId="77777777" w:rsidR="00EF1BD3" w:rsidRDefault="00EF1BD3" w:rsidP="00EF1BD3">
      <w:r>
        <w:t>In tale contesto, come chiarito dal Consiglio di Stato, nella citata sentenza n. 1745/2024, “il fatto che servizi di siffatta natura siano prestati avvalendosi (nella erogazione d’un servizio di natura pur sempre intellettuale) della collaborazione di alcuni addetti non vale sic et simpliciter ad escluderne la natura intellettuale e dunque a rendere necessaria la indicazione di costi di manodopera (esclusa, appunto, per i servizi intellettuali) ex art. 95, comma 10, d.lgs. n. 50 del 2016”.</w:t>
      </w:r>
    </w:p>
    <w:p w14:paraId="43F52D5F" w14:textId="77777777" w:rsidR="00EF1BD3" w:rsidRDefault="00EF1BD3" w:rsidP="00EF1BD3"/>
    <w:p w14:paraId="2FDA7B0A" w14:textId="77777777" w:rsidR="00EF1BD3" w:rsidRDefault="00EF1BD3" w:rsidP="00EF1BD3">
      <w:r>
        <w:t>In presenza di un servizio di natura intellettuale, l’aggiudicataria non avrebbe nemmeno dovuto dichiarare un costo del personale nell’offerta economica. Tale costo avrebbe dovuto essere esclusivamente oggetto di illustrazione in sede di eventuale verifica di congruità dell’offerta. Da ciò deriva l’irrilevanza della variazione del costo della manodopera, effettuata nei giustificativi rispetto all’offerta economica prodotta in gara, trattandosi di dichiarazione non obbligatoria, ai sensi dell’art. 95, comma 10, del d.lgs. n. 50/2016.</w:t>
      </w:r>
    </w:p>
    <w:p w14:paraId="6BAF0D31" w14:textId="77777777" w:rsidR="00EF1BD3" w:rsidRDefault="00EF1BD3" w:rsidP="00EF1BD3"/>
    <w:p w14:paraId="3599F37B" w14:textId="77777777" w:rsidR="00EF1BD3" w:rsidRDefault="00EF1BD3" w:rsidP="00EF1BD3">
      <w:r>
        <w:t xml:space="preserve">Sotto ulteriore profilo, si rammenta che, in base al consolidato orientamento della giurisprudenza in materia, “la verifica dell’anomalia dell’offerta è finalizzata ad accertare l’attendibilità e la serietà della stessa sulla base di una valutazione, ad opera della stazione appaltante, che ha natura globale e sintetica e </w:t>
      </w:r>
      <w:r>
        <w:lastRenderedPageBreak/>
        <w:t>che costituisce espressione di un tipico potere tecnico-discrezionale riservato alla p.a., insindacabile in sede giurisdizionale salvo che per ragioni legate alla eventuale (e dimostrata) manifesta e macroscopica erroneità o irragionevolezza dell’operato dell’amministrazione, tale da rendere palese l’inattendibilità complessiva dell’offerta” (cfr.: Cons. Stato, Sez. III, 19.10.2020 n. 6317).</w:t>
      </w:r>
    </w:p>
    <w:p w14:paraId="6E1E9810" w14:textId="77777777" w:rsidR="00EF1BD3" w:rsidRDefault="00EF1BD3" w:rsidP="00EF1BD3"/>
    <w:p w14:paraId="26BC8A9C" w14:textId="77777777" w:rsidR="00EF1BD3" w:rsidRDefault="00EF1BD3" w:rsidP="00EF1BD3">
      <w:r>
        <w:t>Inoltre, sempre per giurisprudenza consolidata nella materia, “è, in termini generali, ammissibile una modifica delle giustificazioni delle singole voci di costo, non solo in correlazione a sopravvenienze di fatto o di diritto, ma anche al fine di porre rimedio ad originari e comprovati errori di calcolo, sempre che resti ferma l’entità originaria dell’offerta economica, nel rispetto del principio dell’immodificabilità, che presiede la logica della par condicio tra i competitori” (cfr.: Cons. Stato V, 16.03.2020, n. 1873; Idem V, 11.12.2020 n. 7943).</w:t>
      </w:r>
    </w:p>
    <w:p w14:paraId="2A1E529F" w14:textId="77777777" w:rsidR="00EF1BD3" w:rsidRDefault="00EF1BD3" w:rsidP="00EF1BD3"/>
    <w:p w14:paraId="68547055" w14:textId="77777777" w:rsidR="00EF1BD3" w:rsidRDefault="00EF1BD3" w:rsidP="00EF1BD3">
      <w:r>
        <w:t>Ragionevoli, giustificate e proporzionate modificazioni e rimodulazioni possono interessare anche la struttura dei costi della manodopera.</w:t>
      </w:r>
    </w:p>
    <w:p w14:paraId="0A664D2A" w14:textId="77777777" w:rsidR="00EF1BD3" w:rsidRDefault="00EF1BD3" w:rsidP="00EF1BD3"/>
    <w:p w14:paraId="11AB0766" w14:textId="77777777" w:rsidR="00EF1BD3" w:rsidRDefault="00EF1BD3" w:rsidP="00EF1BD3">
      <w:r>
        <w:t>Invero, l’art. 95, comma 10, del d.lgs. n. 50 del 2016, pone a carico di ogni operatore economico l’onere di indicare espressamente nell’offerta economica “i propri costi della manodopera”, anche al fine di consentire lo svolgimento del successivo subprocedimento di verifica dell’anomalia dell’offerta previsto dall’art. 97. La norma prevede, infatti, che la stazione appaltante, “relativamente ai costi della manodopera”, proceda, prima dell’aggiudicazione, a “verificare il rispetto di quanto previsto all’articolo 97, comma 5, lettera d)”, ossia che il costo del personale non sia inferiore, salvo idonee spiegazioni, ai minimi salariali retributivi indicati nelle apposite tabelle ministeriale, ai sensi dell’art. 23, comma 16.</w:t>
      </w:r>
    </w:p>
    <w:p w14:paraId="69477DF0" w14:textId="77777777" w:rsidR="00EF1BD3" w:rsidRDefault="00EF1BD3" w:rsidP="00EF1BD3"/>
    <w:p w14:paraId="76B74EA1" w14:textId="77777777" w:rsidR="00EF1BD3" w:rsidRDefault="00EF1BD3" w:rsidP="00EF1BD3">
      <w:r>
        <w:t>La norma non preclude che i costi della manodopera possano essere diversamente stimati, nel corso nella verifica dell’anomalia dell’offerta: ciò proprio alla luce della lettera e della ratio del subprocedimento di verifica dell’anomalia, preordinato a legittimare giustificazioni “sul prezzo o sui costi proposti nelle offerte”. Tali giustificazioni possono risolversi anche nell’indicazione di una diversa stima di un costo già indicato in precedenza, sempre che la modifica o lo diversa stima del costo non si risolvano in un espediente elusivo delle regole di gare poste a pena di esclusione (art. 89, comma 9, del d.lgs. n. 50 del 2016), oppure nella violazione della par condicio e sempre che si giunga a un giudizio di attendibilità della dichiarazione resa e di congruità dell’offerta (cfr.: Cons. Stato V, 28.02.2022 n. 5644; Idem V, 12.02.2020 n. 1071; Idem V, 16.01.2020 n. 389).</w:t>
      </w:r>
    </w:p>
    <w:p w14:paraId="71506CA6" w14:textId="77777777" w:rsidR="00EF1BD3" w:rsidRDefault="00EF1BD3" w:rsidP="00EF1BD3"/>
    <w:p w14:paraId="35650761" w14:textId="77777777" w:rsidR="00EF1BD3" w:rsidRDefault="00EF1BD3" w:rsidP="00EF1BD3">
      <w:r>
        <w:t>In applicazione di tali principi, la resistente ARTI ha verificato la concreta attendibilità dell’offerta, nella prospettiva del complessivo vaglio di affidabilità e serietà della stessa, ritenendo che la variazione fosse attendibile.</w:t>
      </w:r>
    </w:p>
    <w:p w14:paraId="7FD8DD71" w14:textId="77777777" w:rsidR="00EF1BD3" w:rsidRDefault="00EF1BD3" w:rsidP="00EF1BD3"/>
    <w:p w14:paraId="3DB423A6" w14:textId="77777777" w:rsidR="00EF1BD3" w:rsidRDefault="00EF1BD3" w:rsidP="00EF1BD3">
      <w:r>
        <w:t>Del resto, l’importo complessivamente offerto (€ 81.300,00) è rimasto immutato, non ravvisandosi alcuna modifica sostanziale dell’offerta. Si è trattato, peraltro, di modifica al rialzo di quanto indicato in sede di offerta, sicché l’ARTI non avrebbe potuto ritenere che tale modifica fosse finalizzata a giustificare ex post un’offerta insostenibile (cfr.: Cons. Stato V, 12.02.2020 n. 1071).</w:t>
      </w:r>
    </w:p>
    <w:p w14:paraId="42C86ADA" w14:textId="77777777" w:rsidR="00EF1BD3" w:rsidRDefault="00EF1BD3" w:rsidP="00EF1BD3"/>
    <w:p w14:paraId="1DB7F4FB" w14:textId="77777777" w:rsidR="00EF1BD3" w:rsidRDefault="00EF1BD3" w:rsidP="00EF1BD3">
      <w:r>
        <w:lastRenderedPageBreak/>
        <w:t>Ne deriva l’infondatezza della prima censura.</w:t>
      </w:r>
    </w:p>
    <w:p w14:paraId="353DF51C" w14:textId="77777777" w:rsidR="00EF1BD3" w:rsidRDefault="00EF1BD3" w:rsidP="00EF1BD3"/>
    <w:p w14:paraId="24F1084B" w14:textId="77777777" w:rsidR="00EF1BD3" w:rsidRDefault="00EF1BD3" w:rsidP="00EF1BD3">
      <w:r>
        <w:t>II.2 – Con la seconda censura, la ricorrente contesta che i costi dichiarati dall’aggiudicataria controinteressata - nei giustificativi - sarebbero incongrui, essendo il risultato di una mera operazione di ricalcolo a posteriori dell’offerta complessiva, nell’intento di riequilibrare i costi e conservare un margine di utile, ma senza considerare altre voci di costo. A dire della ricorrente, l’importo del costo della manodopera (pari ad € 63.320,00) non troverebbe “documentazione a comprova (preventivi o contratti)”, poiché il gruppo di lavoro indicato dall’aggiudicataria sarebbe costituito da consulenti free-lance, non già da personale dipendente della società che, stando al certificato camerale, conta un solo dipendente. La conseguenza sarebbe una maggiore onerosità dell’impiego di personale esterno, non verificata dalla Stazione appaltante, con riguardo alle pattuizioni scritte (che dovrebbero avere data certa antecedente alla scadenza del termine di presentazione delle offerte) in ordine alla remunerazione dei professionisti esterni coinvolti.</w:t>
      </w:r>
    </w:p>
    <w:p w14:paraId="4DD7E5E9" w14:textId="77777777" w:rsidR="00EF1BD3" w:rsidRDefault="00EF1BD3" w:rsidP="00EF1BD3"/>
    <w:p w14:paraId="6E9BEC1D" w14:textId="77777777" w:rsidR="00EF1BD3" w:rsidRDefault="00EF1BD3" w:rsidP="00EF1BD3">
      <w:r>
        <w:t>La censura è inammissibile, oltre che infondata.</w:t>
      </w:r>
    </w:p>
    <w:p w14:paraId="6EBE17E2" w14:textId="77777777" w:rsidR="00EF1BD3" w:rsidRDefault="00EF1BD3" w:rsidP="00EF1BD3"/>
    <w:p w14:paraId="0DA722FB" w14:textId="77777777" w:rsidR="00EF1BD3" w:rsidRDefault="00EF1BD3" w:rsidP="00EF1BD3">
      <w:r>
        <w:t>In primo luogo, essa è inammissibile in quanto, secondo un noto e costante orientamento della giurisprudenza amministrativa, “il procedimento di verifica dell'anomalia dell'offerta è volto ad accertare l'attendibilità e la serietà dell'offerta e l'effettiva possibilità dell'impresa di bene eseguire l'appalto alle condizioni proposte” (cfr.: Cons. Stato V, 16.04.2019 n. 2496; Idem III, 29.03.2019 n. 2079; Idem V, 05.03. 2019 n. 1538). La valutazione ha natura necessariamente globale e sintetica, non potendo risolversi in una parcellizzazione delle singole voci di costo né in una "caccia all'errore" nella loro indicazione nel corpo dell'offerta, costituendo esercizio di apprezzamento tecnico, non sindacabile in giustizia, se non per illogicità, manifesta irragionevolezza, arbitrarietà (cfr.: Cons. Stato III, 13.07.2021 n. 5283; Idem V, 22.03.2021 n. 2437; Idem V, 26.02.2021 n. 1637; Idem III, 25.06.2020 n. 4090; Idem V, 27.01.2020 n. 680).</w:t>
      </w:r>
    </w:p>
    <w:p w14:paraId="5FF59D9F" w14:textId="77777777" w:rsidR="00EF1BD3" w:rsidRDefault="00EF1BD3" w:rsidP="00EF1BD3"/>
    <w:p w14:paraId="6CACBD91" w14:textId="77777777" w:rsidR="00EF1BD3" w:rsidRDefault="00EF1BD3" w:rsidP="00EF1BD3">
      <w:r>
        <w:t>A ciò deve aggiungersi che il giudizio su anomalia o incongruità dell'offerta è espressione di discrezionalità tecnica, sindacabile ab extrinseco entro certi limiti, sicché non è consentito al giudice procedere ad autonoma verifica della congruità delle singole voci, pena un'inammissibile invasione della sfera del merito amministrativo (cfr.: Cons. Stato III, 20.05.2020 n. 3207; Idem V, 02.05.2019 n. 2879). In effetti, le censure della ricorrente si sostanziano in mere congetture sui presunti maggiori costi dei professionisti esterni, come tali inammissibili (cfr.: Cons. Stato VII, 27.10.2022 n. 9244).</w:t>
      </w:r>
    </w:p>
    <w:p w14:paraId="39F15797" w14:textId="77777777" w:rsidR="00EF1BD3" w:rsidRDefault="00EF1BD3" w:rsidP="00EF1BD3"/>
    <w:p w14:paraId="7ABA15B1" w14:textId="77777777" w:rsidR="00EF1BD3" w:rsidRDefault="00EF1BD3" w:rsidP="00EF1BD3">
      <w:r>
        <w:t>La censura, invero, è pure infondata, poiché la verifica di congruità dell’offerta è stata svolta in modo corretto e non è affetta da alcun vizio di illogicità o arbitrarietà. L’aggiudicataria, nelle giustifiche prodotte, ha dichiarato che il team di lavoro è composto da: a) un esperto di comunicazione, membro del board, e per cui “la retribuzione indicata rappresenta una parte del compenso che si aggiunge a quello di altri progetti”; b) un content manager, per il quale “la retribuzione indicata rappresenta una parte del compenso che si aggiunge a quello di altri progetti”; c) un esperto in graphic design, con “retribuzione sul progetto: € 19.200,00. Riferimento trattamento: CCNL Grafica Editoria. Livello retributivo 5”; d) un social media manager, con “retribuzione sul progetto: € 21.120,00. Riferimento trattamento: CCNL Grafica Editoria. Livello retributivo 5”; e) un videomaker-fotografo, con “retribuzione sul progetto: € 3.000,00. Riferimento trattamento: CCNL Grafica Editoria. Livello retributivo 4”.</w:t>
      </w:r>
    </w:p>
    <w:p w14:paraId="4FDF1F56" w14:textId="77777777" w:rsidR="00EF1BD3" w:rsidRDefault="00EF1BD3" w:rsidP="00EF1BD3"/>
    <w:p w14:paraId="3DC1FFC8" w14:textId="77777777" w:rsidR="00EF1BD3" w:rsidRDefault="00EF1BD3" w:rsidP="00EF1BD3">
      <w:r>
        <w:t>Nella relazione sulla congruità dell’offerta trasmessa alla Commissione di gara, il R.U.P. ha evidenziato che: “L’impresa presenta una dettagliata relazione - alla quale si rinvia per relationem - con l’indicazione del costo delle varie componenti che concorrono alla composizione dell’offerta e, in particolare, il costo del personale impiegato nell’appalto, determinato sulla base dei valori economici previsti dalla contrattazione collettiva nazionale, appare adeguatamente giustificato”.</w:t>
      </w:r>
    </w:p>
    <w:p w14:paraId="567E77D1" w14:textId="77777777" w:rsidR="00EF1BD3" w:rsidRDefault="00EF1BD3" w:rsidP="00EF1BD3"/>
    <w:p w14:paraId="4CC776CD" w14:textId="77777777" w:rsidR="00EF1BD3" w:rsidRDefault="00EF1BD3" w:rsidP="00EF1BD3">
      <w:r>
        <w:t>Conseguentemente, nell’ambito della verifica di anomalia, la resistente ARTI, per quanto concerne le figure dell’esperto di comunicazione e del content manager, ha ritenuto congruo il compenso forfettario di euro 10.000,00, costituente parte del compenso dei membri del board della società.</w:t>
      </w:r>
    </w:p>
    <w:p w14:paraId="1B256334" w14:textId="77777777" w:rsidR="00EF1BD3" w:rsidRDefault="00EF1BD3" w:rsidP="00EF1BD3"/>
    <w:p w14:paraId="045B755F" w14:textId="77777777" w:rsidR="00EF1BD3" w:rsidRDefault="00EF1BD3" w:rsidP="00EF1BD3">
      <w:r>
        <w:t>Con riferimento alle altre figure professionali, l’ARTI ha provveduto a verificare la congruità del costo della manodopera dichiarato, prendendo a riferimento il CCNL applicabile per lo svolgimento delle specifiche mansioni, ovvero il CCNL - Grafica Editoria.</w:t>
      </w:r>
    </w:p>
    <w:p w14:paraId="43B268D2" w14:textId="77777777" w:rsidR="00EF1BD3" w:rsidRDefault="00EF1BD3" w:rsidP="00EF1BD3"/>
    <w:p w14:paraId="2E6C19AE" w14:textId="77777777" w:rsidR="00EF1BD3" w:rsidRDefault="00EF1BD3" w:rsidP="00EF1BD3">
      <w:r>
        <w:t>La giurisprudenza amministrativa, nel caso di impiego di personale autonomo, è concorde nell’affermare la legittimità della verifica del costo dei lavoratori autonomi, mediante raffronto con il CCNL di riferimento: “il costo del lavoro autonomo non è sottratto al controllo di anomalia e soltanto laddove manchi un parametro normativo di congruità direttamente applicabile al rapporto di lavoro autonomo oggetto di verifica, la stazione appaltante può prendere a riferimento (sempre in chiave orientativa e non rigidamente vincolante) la contrattazione collettiva applicabile ai rapporti di lavoro subordinato aventi ad oggetto mansioni analoghe. Ciò ovviamente previa sterilizzazione degli effetti del diverso regime contributivo e retributivo applicabile a questi ultimi rapporti (sterilizzazione resa necessaria non soltanto da evidenti ragioni logiche, ma anche, come detto, dal carattere non vincolante del parametro collettivo in esame applicato ai rapporti di lavoro autonomo)” (cfr.: T.a.r. Lazio, Sede di Roma, Sez. II, 24.05.2022 n. 6688; in senso conforme, Cons. Stato III, 25.03.2019 n. 1979).</w:t>
      </w:r>
    </w:p>
    <w:p w14:paraId="0421F671" w14:textId="77777777" w:rsidR="00EF1BD3" w:rsidRDefault="00EF1BD3" w:rsidP="00EF1BD3"/>
    <w:p w14:paraId="25F7F271" w14:textId="77777777" w:rsidR="00EF1BD3" w:rsidRDefault="00EF1BD3" w:rsidP="00EF1BD3">
      <w:r>
        <w:t>Non può condividersi l’assunto secondo cui il R.U.P. avrebbe dovuto chiedere e verificare i “preventivi dei consulenti”, poiché una simile indagine va oltre i poteri istruttori della Stazione appaltante. Senza dire che le stime delle retribuzioni ritenute congrue dalla ricorrente per i professionisti previsti nel bando (costo orario medio di un project manager, pari ad € 161,50; tariffa oraria di un videomaker, tra i € 75 e 250) derivano da articoli di blog e siti web, privi di ogni efficacia indicativa o probatoria.</w:t>
      </w:r>
    </w:p>
    <w:p w14:paraId="341CA507" w14:textId="77777777" w:rsidR="00EF1BD3" w:rsidRDefault="00EF1BD3" w:rsidP="00EF1BD3"/>
    <w:p w14:paraId="49F3DE6D" w14:textId="77777777" w:rsidR="00EF1BD3" w:rsidRDefault="00EF1BD3" w:rsidP="00EF1BD3">
      <w:r>
        <w:t>Pertanto, deve ritenersi che la verifica sulla congruità del costo del personale sia stata svolta in modo adeguato e coerente con l’impianto normativo e giurisprudenziale, risultando immune da mende.</w:t>
      </w:r>
    </w:p>
    <w:p w14:paraId="2BA8D01E" w14:textId="77777777" w:rsidR="00EF1BD3" w:rsidRDefault="00EF1BD3" w:rsidP="00EF1BD3"/>
    <w:p w14:paraId="0644E48C" w14:textId="77777777" w:rsidR="00EF1BD3" w:rsidRDefault="00EF1BD3" w:rsidP="00EF1BD3">
      <w:r>
        <w:t>II.3 – Con la terza censura, la ricorrente contesta che l’offerta economica presentata in sede di gara sarebbe giustificata limitatamente ai costi del personale, imputando all’utile tutta la somma residua; in particolare, l’aggiudicatario avrebbe dovuto giustificare anche le spese di: a) noleggio o acquisto di attrezzature necessarie per la realizzazione di video-reportage, noleggio di strumentazione specifica per la produzione di 24 reel-video; b) acquisto di brani musicali originali e liberi da diritti di terzi per video-reportage e reel-</w:t>
      </w:r>
      <w:r>
        <w:lastRenderedPageBreak/>
        <w:t>video; c) spese di vitto e trasporto per gli spostamenti dalla sede agli eventi situati nel territorio pugliese, nonché verso le località selezionate per le interviste e la realizzazione dei video.</w:t>
      </w:r>
    </w:p>
    <w:p w14:paraId="1C007394" w14:textId="77777777" w:rsidR="00EF1BD3" w:rsidRDefault="00EF1BD3" w:rsidP="00EF1BD3"/>
    <w:p w14:paraId="585EA864" w14:textId="77777777" w:rsidR="00EF1BD3" w:rsidRDefault="00EF1BD3" w:rsidP="00EF1BD3">
      <w:r>
        <w:t>Anche tale censura non è fondata.</w:t>
      </w:r>
    </w:p>
    <w:p w14:paraId="426EE3F0" w14:textId="77777777" w:rsidR="00EF1BD3" w:rsidRDefault="00EF1BD3" w:rsidP="00EF1BD3"/>
    <w:p w14:paraId="332B3F56" w14:textId="77777777" w:rsidR="00EF1BD3" w:rsidRDefault="00EF1BD3" w:rsidP="00EF1BD3">
      <w:r>
        <w:t>L’oggetto del servizio affidato in appalto per cui è causa (servizi di content management, social media management, realizzazione di prodotti multimediali per la Rete Giovani Puglia), previsto dal capitolato, contempla attività che presuppongono un patrimonio di cognizioni specialistiche per elaborazione ed eventuale risoluzione di problematiche non standardizzate e nello specifico: a) redazione di contenuti testuali (news, interviste, copy per i social media); b) realizzazione di contenuti multimediali (visual, reel, video reportage); c) definizione della digital media strategy; d) gestione dei social media.</w:t>
      </w:r>
    </w:p>
    <w:p w14:paraId="1D299538" w14:textId="77777777" w:rsidR="00EF1BD3" w:rsidRDefault="00EF1BD3" w:rsidP="00EF1BD3"/>
    <w:p w14:paraId="5F4E4A0D" w14:textId="77777777" w:rsidR="00EF1BD3" w:rsidRDefault="00EF1BD3" w:rsidP="00EF1BD3">
      <w:r>
        <w:t>Tali attività si basano esclusivamente sulle competenze e sulla creatività del gruppo di lavoro, avente specifiche mansioni indicate nel capitolato speciale d’appalto. All’art. 1.1 della lettera di invito, l’Amministrazione precisa che il servizio “ha natura propriamente intellettuale”, richiedendo lo svolgimento di prestazioni professionali prevalenti rispetto ad eventuali ulteriori attività materiali e all’organizzazione di mezzi e risorse. Sono, dunque, richiesti specifici profili professionali con elevato contenuto intellettuale, dotati di formazione ed esperienza adeguate e finalizzate all’elaborazione e alla diffusione di prodotti multimediali da offrire alla fruizione della comunità.</w:t>
      </w:r>
    </w:p>
    <w:p w14:paraId="597BC437" w14:textId="77777777" w:rsidR="00EF1BD3" w:rsidRDefault="00EF1BD3" w:rsidP="00EF1BD3"/>
    <w:p w14:paraId="7C23569B" w14:textId="77777777" w:rsidR="00EF1BD3" w:rsidRDefault="00EF1BD3" w:rsidP="00EF1BD3">
      <w:r>
        <w:t>Ciò posto, va rilevato che:</w:t>
      </w:r>
    </w:p>
    <w:p w14:paraId="72BE7656" w14:textId="77777777" w:rsidR="00EF1BD3" w:rsidRDefault="00EF1BD3" w:rsidP="00EF1BD3"/>
    <w:p w14:paraId="0FCEAF2A" w14:textId="77777777" w:rsidR="00EF1BD3" w:rsidRDefault="00EF1BD3" w:rsidP="00EF1BD3">
      <w:r>
        <w:t>a) il capitolato non richiede che l’aggiudicatario debba provvedere alla fornitura o al noleggio di attrezzature diverse da quelle ordinariamente in dotazione di una società di comunicazione; del resto, nelle giustifiche prodotte l’aggiudicataria ha chiarito che “la maggior parte delle richieste si riferiscono alle più consuete attività che svolge il team di Agenzia e per le quali esso è particolarmente esperto… capita di frequente che vengano richiesti progetti che necessitano dell’intervento di fornitori esterni. A titolo esemplificativo si citano: allestimento di location per eventi e conseguente disallestimento e trasporto, produzione stampa di materiale di comunicazione, coinvolgimento di troupe video con particolari attrezzature, etc. Questa eventualità nel progetto Galattica non è presente, consentendo così all’Agenzia di assicurare qualità nel servizio e completezza nelle competenze richieste che non necessitano del coinvolgimento di realtà esterne e, quindi, l’inserimento nel computo di costi anche dei ricavi di ulteriori attori da coinvolgere nel progetto Galattica”;</w:t>
      </w:r>
    </w:p>
    <w:p w14:paraId="0722A3B8" w14:textId="77777777" w:rsidR="00EF1BD3" w:rsidRDefault="00EF1BD3" w:rsidP="00EF1BD3"/>
    <w:p w14:paraId="56EF8BEE" w14:textId="77777777" w:rsidR="00EF1BD3" w:rsidRDefault="00EF1BD3" w:rsidP="00EF1BD3">
      <w:r>
        <w:t xml:space="preserve">b) con riferimento al video-reportage, il capitolato (al punto n. 7) riporta una precisa indicazione relativa all’eventuale utilizzo di brani musicali/tracce audio/video, chiarendo, in particolare, che “nel caso in cui lo sviluppo dei progetti creativi rendesse necessario l’utilizzo di video, brani musicali/tracce audio e/o materiali affini, questi dovranno essere originali e liberi da diritti da parte di terzi”; l’aggiudicatario è, dunque, libero di utilizzare qualunque materiale aggiuntivo per il video-reportage purché, in caso di contenuti audio/video non proprietari, fornisca alla Stazione appaltante tutte le licenze d’uso e la documentazione relativa all’assolvimento dei diritti; la richiesta formulata dall’Amministrazione è quella di utilizzare brani originali e liberi da diritti; conseguentemente, non vi è alcun onere di acquisto di brani audio </w:t>
      </w:r>
      <w:r>
        <w:lastRenderedPageBreak/>
        <w:t>o video, in quanto è data la possibilità alla società di utilizzare materiali senza copyright o creati dallo stesso aggiudicatario;</w:t>
      </w:r>
    </w:p>
    <w:p w14:paraId="3ED80B3E" w14:textId="77777777" w:rsidR="00EF1BD3" w:rsidRDefault="00EF1BD3" w:rsidP="00EF1BD3"/>
    <w:p w14:paraId="013424F1" w14:textId="77777777" w:rsidR="00EF1BD3" w:rsidRDefault="00EF1BD3" w:rsidP="00EF1BD3">
      <w:r>
        <w:t>c) in merito ai costi di trasferta, il capitolato non richiede l’indicazione del domicilio/residenza del gruppo di lavoro dedicato alla commessa, né richiede una determinata frequenza di presenza nel territorio regionale; peraltro, in sede di chiarimenti, l’Amministrazione, con riferimento alla partecipazione ad alcuni eventi organizzati a livello territoriale sulla base delle indicazioni fornite dagli youth worker, ha precisato che “Non è possibile definire a priori il numero di eventi a cui è richiesto di partecipare, perché dipende dall’andamento delle attività di Galattica” (chiarimento PE017321-23).</w:t>
      </w:r>
    </w:p>
    <w:p w14:paraId="4879D5BE" w14:textId="77777777" w:rsidR="00EF1BD3" w:rsidRDefault="00EF1BD3" w:rsidP="00EF1BD3"/>
    <w:p w14:paraId="0509A99A" w14:textId="77777777" w:rsidR="00EF1BD3" w:rsidRDefault="00EF1BD3" w:rsidP="00EF1BD3">
      <w:r>
        <w:t>Deve, inoltre, precisarsi, che la resistente ARTI ha anche chiarito ai concorrenti che eventuali costi per le campagne a pagamento di cui al punto 6 del capitolato sarebbero stati a carico dell’Amministrazione: “qualora dovesse essere necessario procedere ad azioni di social media advertising verrà definito un budget specifico” (chiarimento PE017351-23).</w:t>
      </w:r>
    </w:p>
    <w:p w14:paraId="5EBC3423" w14:textId="77777777" w:rsidR="00EF1BD3" w:rsidRDefault="00EF1BD3" w:rsidP="00EF1BD3"/>
    <w:p w14:paraId="75290F95" w14:textId="77777777" w:rsidR="00EF1BD3" w:rsidRDefault="00EF1BD3" w:rsidP="00EF1BD3">
      <w:r>
        <w:t>Nell’ambito del procedimento di verifica di congruità dell’offerta, dunque, il sostanziale profilo da esaminare concerne il costo del personale, non essendo previsti – secondo le prescrizioni della lex specialis di gara – ulteriori costi.</w:t>
      </w:r>
    </w:p>
    <w:p w14:paraId="4347C469" w14:textId="77777777" w:rsidR="00EF1BD3" w:rsidRDefault="00EF1BD3" w:rsidP="00EF1BD3"/>
    <w:p w14:paraId="3346BE98" w14:textId="77777777" w:rsidR="00EF1BD3" w:rsidRDefault="00EF1BD3" w:rsidP="00EF1BD3">
      <w:r>
        <w:t>Sul punto, in conformità alla legge di gara ed ai chiarimenti resi, nelle giustifiche del 15.12.2023, l’aggiudicataria ha dichiarato che: “Presenza sul territorio. Il Capitolato Tecnico e la Lettera di Invito non hanno evidenziato richieste di personale stabile sul territorio e/o requisiti di sedi sul territorio così da consentire di ipotizzare degli spostamenti occasionali e di applicare costi ben inferiori rispetto a quelli necessari per una permanenza continua. Nonostante questo, e grazie all’attenta analisi di ogni voce di costo, è oggi possibile per l’Agenzia disporre di un membro del team che può garantire una frequente presenza sul territorio. E ciò ad ulteriore occasione di riduzione di costi per continue trasferte”.</w:t>
      </w:r>
    </w:p>
    <w:p w14:paraId="3C0AADE0" w14:textId="77777777" w:rsidR="00EF1BD3" w:rsidRDefault="00EF1BD3" w:rsidP="00EF1BD3"/>
    <w:p w14:paraId="00BD505B" w14:textId="77777777" w:rsidR="00EF1BD3" w:rsidRDefault="00EF1BD3" w:rsidP="00EF1BD3">
      <w:r>
        <w:t>Allo stesso modo, nelle giustifiche del 13.12.2023, l’aggiudicataria afferma che: “I costi totali hanno così consentito la composizione di un’offerta economica in grado di assicurare uno sviluppo del progetto di alta qualità in base a: rapporto giorni lavoro/competenza del team; presenza di uno dei professionisti stabilmente sul territorio che ha ridotto la necessità di sostenere costi per numerose trasferte”.</w:t>
      </w:r>
    </w:p>
    <w:p w14:paraId="79C06EB3" w14:textId="77777777" w:rsidR="00EF1BD3" w:rsidRDefault="00EF1BD3" w:rsidP="00EF1BD3"/>
    <w:p w14:paraId="6663B958" w14:textId="77777777" w:rsidR="00EF1BD3" w:rsidRDefault="00EF1BD3" w:rsidP="00EF1BD3">
      <w:r>
        <w:t>A ciò si aggiunga che l’offerta è formulata in termini da garantire il perseguimento di un utile d'impresa pari a € 17.980,00, pienamente idoneo a coprire eventuali spese generali o di trasferte o di eventuali acquisti di musicali/tracce audio/video.</w:t>
      </w:r>
    </w:p>
    <w:p w14:paraId="1ACA5524" w14:textId="77777777" w:rsidR="00EF1BD3" w:rsidRDefault="00EF1BD3" w:rsidP="00EF1BD3"/>
    <w:p w14:paraId="5F30F655" w14:textId="77777777" w:rsidR="00EF1BD3" w:rsidRDefault="00EF1BD3" w:rsidP="00EF1BD3">
      <w:r>
        <w:t xml:space="preserve">Nelle giustifiche, l’aggiudicataria chiarisce che: “I costi – soprattutto accessori e/o cautelativi - necessari a soddisfare le richieste rappresentano un dato ormai noto che ha consentito di proporre ad ARTI solo servizi, metodi e flussi di lavoro che non incontrano quelle criticità che spesso rappresentano una perdita di investimento (a carico della società). Ad esempio, l’Agenzia sta gestendo progetti per altre enti pubblici che presentano modalità di sviluppo e tipologia di richiesta molto simile al progetto Galattica e questo aspetto </w:t>
      </w:r>
      <w:r>
        <w:lastRenderedPageBreak/>
        <w:t>ha - anche esso - contribuito a poter confezionare una offerta economica il cui perimetro di impiego di risorse è stato agevolmente ipotizzato così da ridurre costi accessori non necessariamente indispensabili. Questo aspetto è risultato come condizione eccezionalmente favorevole alla composizione del ribasso”.</w:t>
      </w:r>
    </w:p>
    <w:p w14:paraId="7466F3D1" w14:textId="77777777" w:rsidR="00EF1BD3" w:rsidRDefault="00EF1BD3" w:rsidP="00EF1BD3"/>
    <w:p w14:paraId="2CA48A12" w14:textId="77777777" w:rsidR="00EF1BD3" w:rsidRDefault="00EF1BD3" w:rsidP="00EF1BD3">
      <w:r>
        <w:t>Pertanto, al fine della complessiva valutazione di congruità dell’offerta, non sarebbe stato necessario - né tampoco utile - aggravare il procedimento con la richiesta di ulteriori chiarimenti rispetto a quelli forniti dalla società nelle due relazioni trasmesse, in quanto eventuali ulteriori costi sarebbero marginali e, comunque, rientranti nelle previsioni di spesa dichiarate.</w:t>
      </w:r>
    </w:p>
    <w:p w14:paraId="3F5192CE" w14:textId="77777777" w:rsidR="00EF1BD3" w:rsidRDefault="00EF1BD3" w:rsidP="00EF1BD3"/>
    <w:p w14:paraId="3779C081" w14:textId="77777777" w:rsidR="00EF1BD3" w:rsidRDefault="00EF1BD3" w:rsidP="00EF1BD3">
      <w:r>
        <w:t>Ne deriva l’infondatezza della terza doglianza.</w:t>
      </w:r>
    </w:p>
    <w:p w14:paraId="54DADC45" w14:textId="77777777" w:rsidR="00EF1BD3" w:rsidRDefault="00EF1BD3" w:rsidP="00EF1BD3"/>
    <w:p w14:paraId="6B4120E0" w14:textId="77777777" w:rsidR="00EF1BD3" w:rsidRDefault="00EF1BD3" w:rsidP="00EF1BD3">
      <w:r>
        <w:t>III – In conclusione, il ricorso è del tutto infondato. Le spese del giudizio, stante la novità delle questioni esaminate, possono essere compensate tra le parti.</w:t>
      </w:r>
    </w:p>
    <w:p w14:paraId="3C971B19" w14:textId="77777777" w:rsidR="00EF1BD3" w:rsidRDefault="00EF1BD3" w:rsidP="00EF1BD3"/>
    <w:p w14:paraId="0BF77350" w14:textId="77777777" w:rsidR="00EF1BD3" w:rsidRDefault="00EF1BD3" w:rsidP="00EF1BD3">
      <w:r>
        <w:t>P.Q.M.</w:t>
      </w:r>
    </w:p>
    <w:p w14:paraId="2F0F86C0" w14:textId="77777777" w:rsidR="00EF1BD3" w:rsidRDefault="00EF1BD3" w:rsidP="00EF1BD3"/>
    <w:p w14:paraId="01B1408E" w14:textId="77777777" w:rsidR="00EF1BD3" w:rsidRDefault="00EF1BD3" w:rsidP="00EF1BD3">
      <w:r>
        <w:t>Il Tribunale Amministrativo Regionale per la Puglia (Sezione Seconda), definitivamente pronunciando sul ricorso, come in epigrafe proposto, lo respinge perché infondato.</w:t>
      </w:r>
    </w:p>
    <w:p w14:paraId="08064209" w14:textId="77777777" w:rsidR="00EF1BD3" w:rsidRDefault="00EF1BD3" w:rsidP="00EF1BD3"/>
    <w:p w14:paraId="731FFA75" w14:textId="77777777" w:rsidR="00EF1BD3" w:rsidRDefault="00EF1BD3" w:rsidP="00EF1BD3">
      <w:r>
        <w:t>Compensa tra le parti le spese del giudizio.</w:t>
      </w:r>
    </w:p>
    <w:p w14:paraId="2CD84B43" w14:textId="77777777" w:rsidR="00EF1BD3" w:rsidRDefault="00EF1BD3" w:rsidP="00EF1BD3"/>
    <w:p w14:paraId="00CC2222" w14:textId="77777777" w:rsidR="00EF1BD3" w:rsidRDefault="00EF1BD3" w:rsidP="00EF1BD3">
      <w:r>
        <w:t>Ordina che la presente sentenza sia eseguita dall'Autorità amministrativa.</w:t>
      </w:r>
    </w:p>
    <w:p w14:paraId="32462F32" w14:textId="77777777" w:rsidR="00EF1BD3" w:rsidRDefault="00EF1BD3" w:rsidP="00EF1BD3"/>
    <w:p w14:paraId="498D5786" w14:textId="77777777" w:rsidR="00EF1BD3" w:rsidRDefault="00EF1BD3" w:rsidP="00EF1BD3">
      <w:r>
        <w:t>Così deciso in Bari, nella camera di consiglio del giorno 17 settembre 2024, con l'intervento dei magistrati:</w:t>
      </w:r>
    </w:p>
    <w:p w14:paraId="4E638429" w14:textId="77777777" w:rsidR="00EF1BD3" w:rsidRDefault="00EF1BD3" w:rsidP="00EF1BD3"/>
    <w:p w14:paraId="5AD1FE32" w14:textId="77777777" w:rsidR="00EF1BD3" w:rsidRDefault="00EF1BD3" w:rsidP="00EF1BD3">
      <w:r>
        <w:t>Orazio Ciliberti, Presidente, Estensore</w:t>
      </w:r>
    </w:p>
    <w:p w14:paraId="4511B42F" w14:textId="77777777" w:rsidR="00EF1BD3" w:rsidRDefault="00EF1BD3" w:rsidP="00EF1BD3"/>
    <w:p w14:paraId="533A37C1" w14:textId="77777777" w:rsidR="00EF1BD3" w:rsidRDefault="00EF1BD3" w:rsidP="00EF1BD3">
      <w:r>
        <w:t>Giacinta Serlenga, Consigliere</w:t>
      </w:r>
    </w:p>
    <w:p w14:paraId="7B79C84B" w14:textId="77777777" w:rsidR="00EF1BD3" w:rsidRDefault="00EF1BD3" w:rsidP="00EF1BD3"/>
    <w:p w14:paraId="0A05D5A4" w14:textId="77777777" w:rsidR="00EF1BD3" w:rsidRDefault="00EF1BD3" w:rsidP="00EF1BD3">
      <w:r>
        <w:t>Donatella Testini, Consigliere</w:t>
      </w:r>
    </w:p>
    <w:p w14:paraId="1CE1B9BD" w14:textId="77777777" w:rsidR="00EF1BD3" w:rsidRDefault="00EF1BD3" w:rsidP="00EF1BD3"/>
    <w:p w14:paraId="1A9F543D" w14:textId="77777777" w:rsidR="00EF1BD3" w:rsidRDefault="00EF1BD3" w:rsidP="00EF1BD3">
      <w:r>
        <w:t xml:space="preserve"> </w:t>
      </w:r>
      <w:r>
        <w:tab/>
      </w:r>
      <w:r>
        <w:tab/>
      </w:r>
    </w:p>
    <w:p w14:paraId="6D6F740F" w14:textId="77777777" w:rsidR="00EF1BD3" w:rsidRDefault="00EF1BD3" w:rsidP="00EF1BD3">
      <w:r>
        <w:t xml:space="preserve"> </w:t>
      </w:r>
      <w:r>
        <w:tab/>
      </w:r>
      <w:r>
        <w:tab/>
      </w:r>
    </w:p>
    <w:p w14:paraId="67C463B9" w14:textId="77777777" w:rsidR="00EF1BD3" w:rsidRDefault="00EF1BD3" w:rsidP="00EF1BD3">
      <w:r>
        <w:t>IL PRESIDENTE, ESTENSORE</w:t>
      </w:r>
      <w:r>
        <w:tab/>
      </w:r>
      <w:r>
        <w:tab/>
      </w:r>
    </w:p>
    <w:p w14:paraId="7432AF35" w14:textId="77777777" w:rsidR="00EF1BD3" w:rsidRDefault="00EF1BD3" w:rsidP="00EF1BD3">
      <w:r>
        <w:lastRenderedPageBreak/>
        <w:t>Orazio Ciliberti</w:t>
      </w:r>
      <w:r>
        <w:tab/>
      </w:r>
      <w:r>
        <w:tab/>
      </w:r>
    </w:p>
    <w:p w14:paraId="57787FE2" w14:textId="77777777" w:rsidR="00EF1BD3" w:rsidRDefault="00EF1BD3" w:rsidP="00EF1BD3">
      <w:r>
        <w:t xml:space="preserve"> </w:t>
      </w:r>
      <w:r>
        <w:tab/>
      </w:r>
      <w:r>
        <w:tab/>
      </w:r>
    </w:p>
    <w:p w14:paraId="44CEF637" w14:textId="77777777" w:rsidR="00EF1BD3" w:rsidRDefault="00EF1BD3" w:rsidP="00EF1BD3">
      <w:r>
        <w:t xml:space="preserve"> </w:t>
      </w:r>
      <w:r>
        <w:tab/>
      </w:r>
      <w:r>
        <w:tab/>
      </w:r>
    </w:p>
    <w:p w14:paraId="52C87226" w14:textId="77777777" w:rsidR="00EF1BD3" w:rsidRDefault="00EF1BD3" w:rsidP="00EF1BD3">
      <w:r>
        <w:t xml:space="preserve"> </w:t>
      </w:r>
      <w:r>
        <w:tab/>
      </w:r>
      <w:r>
        <w:tab/>
      </w:r>
    </w:p>
    <w:p w14:paraId="6ECFF14C" w14:textId="77777777" w:rsidR="00EF1BD3" w:rsidRDefault="00EF1BD3" w:rsidP="00EF1BD3">
      <w:r>
        <w:t xml:space="preserve"> </w:t>
      </w:r>
      <w:r>
        <w:tab/>
      </w:r>
      <w:r>
        <w:tab/>
      </w:r>
    </w:p>
    <w:p w14:paraId="3A68D41D" w14:textId="77777777" w:rsidR="00EF1BD3" w:rsidRDefault="00EF1BD3" w:rsidP="00EF1BD3">
      <w:r>
        <w:t xml:space="preserve"> </w:t>
      </w:r>
      <w:r>
        <w:tab/>
      </w:r>
      <w:r>
        <w:tab/>
      </w:r>
    </w:p>
    <w:p w14:paraId="629E3EC4" w14:textId="77777777" w:rsidR="00EF1BD3" w:rsidRDefault="00EF1BD3" w:rsidP="00EF1BD3">
      <w:r>
        <w:t>IL SEGRETARIO</w:t>
      </w:r>
    </w:p>
    <w:p w14:paraId="6BDAC40F" w14:textId="77777777" w:rsidR="00EF1BD3" w:rsidRDefault="00EF1BD3" w:rsidP="00EF1BD3"/>
    <w:p w14:paraId="68C75A80" w14:textId="77777777" w:rsidR="00E7506D" w:rsidRDefault="00E7506D">
      <w:bookmarkStart w:id="0" w:name="_GoBack"/>
      <w:bookmarkEnd w:id="0"/>
    </w:p>
    <w:sectPr w:rsidR="00E7506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06D"/>
    <w:rsid w:val="00E7506D"/>
    <w:rsid w:val="00EF1BD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7A3934-CB63-4F5E-8AE5-88E860805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4595</Words>
  <Characters>26197</Characters>
  <Application>Microsoft Office Word</Application>
  <DocSecurity>0</DocSecurity>
  <Lines>218</Lines>
  <Paragraphs>61</Paragraphs>
  <ScaleCrop>false</ScaleCrop>
  <Company/>
  <LinksUpToDate>false</LinksUpToDate>
  <CharactersWithSpaces>30731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2024-09-24T09:38:00Z</dcterms:created>
  <dcterms:modified xsi:type="dcterms:W3CDTF">2024-09-24T09:38:00Z</dcterms:modified>
</cp:coreProperties>
</file>