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B57AD" w14:textId="77777777" w:rsidR="00296DC2" w:rsidRDefault="00296DC2" w:rsidP="00296DC2">
      <w:r>
        <w:t>Tribunale Amministrativo Regionale|PIEMONTE - Torino|Sezione 2 |Sentenza|7 gennaio 2025| n. 7</w:t>
      </w:r>
    </w:p>
    <w:p w14:paraId="728F5180" w14:textId="77777777" w:rsidR="00296DC2" w:rsidRDefault="00296DC2" w:rsidP="00296DC2"/>
    <w:p w14:paraId="7F368A8A" w14:textId="77777777" w:rsidR="00296DC2" w:rsidRDefault="00296DC2" w:rsidP="00296DC2">
      <w:r>
        <w:t>Data udienza 18 dicembre 2024</w:t>
      </w:r>
    </w:p>
    <w:p w14:paraId="6A6DD7D3" w14:textId="77777777" w:rsidR="00296DC2" w:rsidRDefault="00296DC2" w:rsidP="00296DC2"/>
    <w:p w14:paraId="12FDB80F" w14:textId="77777777" w:rsidR="00296DC2" w:rsidRDefault="00296DC2" w:rsidP="00296DC2">
      <w:r>
        <w:t>Integrale</w:t>
      </w:r>
    </w:p>
    <w:p w14:paraId="2A8ADB56" w14:textId="77777777" w:rsidR="00296DC2" w:rsidRDefault="00296DC2" w:rsidP="00296DC2"/>
    <w:p w14:paraId="2C0D3B73" w14:textId="77777777" w:rsidR="00296DC2" w:rsidRDefault="00296DC2" w:rsidP="00296DC2">
      <w:r>
        <w:t>Occupazione suolo pubblico - Canoni di occupazione - Lavori pubblici su linea ferroviaria - Lavori di elettrificazione - Autorizzazione occupazione suolo pubblico - Assoggettamento a canone unico patrimoniale ex art. 1, commi 816 e ss., L. 160/2019 - Esenzione per occupazioni effettuate dallo Stato - Esclusa nella fattispecie - Tassatività ipotesi di esenzione - Cons. Stato, Sez. VII, 27/11/2024, n. 9553 - Gestione infrastruttura ferroviaria nazionale senza poteri o funzioni di stampo amministrativo riferibili allo Stato - Irrilevanza proprietà dello Stato</w:t>
      </w:r>
    </w:p>
    <w:p w14:paraId="12AE7004" w14:textId="77777777" w:rsidR="00296DC2" w:rsidRDefault="00296DC2" w:rsidP="00296DC2">
      <w:r>
        <w:t>REPUBBLICA ITALIANA</w:t>
      </w:r>
    </w:p>
    <w:p w14:paraId="490BF6A2" w14:textId="77777777" w:rsidR="00296DC2" w:rsidRDefault="00296DC2" w:rsidP="00296DC2"/>
    <w:p w14:paraId="6B0192FE" w14:textId="77777777" w:rsidR="00296DC2" w:rsidRDefault="00296DC2" w:rsidP="00296DC2">
      <w:r>
        <w:t>IN NOME DEL POPOLO ITALIANO</w:t>
      </w:r>
    </w:p>
    <w:p w14:paraId="36711AED" w14:textId="77777777" w:rsidR="00296DC2" w:rsidRDefault="00296DC2" w:rsidP="00296DC2"/>
    <w:p w14:paraId="2C22CB4B" w14:textId="77777777" w:rsidR="00296DC2" w:rsidRDefault="00296DC2" w:rsidP="00296DC2">
      <w:r>
        <w:t>Il Tribunale Amministrativo Regionale per il Piemonte</w:t>
      </w:r>
    </w:p>
    <w:p w14:paraId="4DDDC3E1" w14:textId="77777777" w:rsidR="00296DC2" w:rsidRDefault="00296DC2" w:rsidP="00296DC2"/>
    <w:p w14:paraId="4FB05B17" w14:textId="77777777" w:rsidR="00296DC2" w:rsidRDefault="00296DC2" w:rsidP="00296DC2">
      <w:r>
        <w:t>Sezione Seconda</w:t>
      </w:r>
    </w:p>
    <w:p w14:paraId="3BA35EB7" w14:textId="77777777" w:rsidR="00296DC2" w:rsidRDefault="00296DC2" w:rsidP="00296DC2"/>
    <w:p w14:paraId="057578C3" w14:textId="77777777" w:rsidR="00296DC2" w:rsidRDefault="00296DC2" w:rsidP="00296DC2">
      <w:r>
        <w:t>ha pronunciato la presente</w:t>
      </w:r>
    </w:p>
    <w:p w14:paraId="06A681FF" w14:textId="77777777" w:rsidR="00296DC2" w:rsidRDefault="00296DC2" w:rsidP="00296DC2"/>
    <w:p w14:paraId="3CD5CD1B" w14:textId="77777777" w:rsidR="00296DC2" w:rsidRDefault="00296DC2" w:rsidP="00296DC2">
      <w:r>
        <w:t>SENTENZA</w:t>
      </w:r>
    </w:p>
    <w:p w14:paraId="712A6ADC" w14:textId="77777777" w:rsidR="00296DC2" w:rsidRDefault="00296DC2" w:rsidP="00296DC2"/>
    <w:p w14:paraId="035262E7" w14:textId="77777777" w:rsidR="00296DC2" w:rsidRDefault="00296DC2" w:rsidP="00296DC2">
      <w:r>
        <w:t>sul ricorso numero di registro generale 1195 del 2024, proposto da</w:t>
      </w:r>
    </w:p>
    <w:p w14:paraId="0AA8D777" w14:textId="77777777" w:rsidR="00296DC2" w:rsidRDefault="00296DC2" w:rsidP="00296DC2"/>
    <w:p w14:paraId="0A5EB5C5" w14:textId="77777777" w:rsidR="00296DC2" w:rsidRDefault="00296DC2" w:rsidP="00296DC2">
      <w:r>
        <w:t>Re. Fe. It. S.p.A., in persona del legale rappresentante pro tempore, rappresentata e difesa dall'avvocato Luigi Piscitelli, con domicilio digitale come da PEC da Registri di Giustizia;</w:t>
      </w:r>
    </w:p>
    <w:p w14:paraId="6E700040" w14:textId="77777777" w:rsidR="00296DC2" w:rsidRDefault="00296DC2" w:rsidP="00296DC2"/>
    <w:p w14:paraId="59C682F3" w14:textId="77777777" w:rsidR="00296DC2" w:rsidRDefault="00296DC2" w:rsidP="00296DC2">
      <w:r>
        <w:t>contro</w:t>
      </w:r>
    </w:p>
    <w:p w14:paraId="2F9A8636" w14:textId="77777777" w:rsidR="00296DC2" w:rsidRDefault="00296DC2" w:rsidP="00296DC2"/>
    <w:p w14:paraId="561B889A" w14:textId="77777777" w:rsidR="00296DC2" w:rsidRDefault="00296DC2" w:rsidP="00296DC2">
      <w:r>
        <w:t>Comune di (Omissis), in persona del legale rappresentante pro tempore, rappresentato e difeso dall'avvocato Ma. Fo., con domicilio digitale come da PEC da Registri di Giustizia;</w:t>
      </w:r>
    </w:p>
    <w:p w14:paraId="7954649E" w14:textId="77777777" w:rsidR="00296DC2" w:rsidRDefault="00296DC2" w:rsidP="00296DC2"/>
    <w:p w14:paraId="35A4F816" w14:textId="77777777" w:rsidR="00296DC2" w:rsidRDefault="00296DC2" w:rsidP="00296DC2">
      <w:r>
        <w:lastRenderedPageBreak/>
        <w:t>sul ricorso numero di registro generale 1329 del 2024, proposto da</w:t>
      </w:r>
    </w:p>
    <w:p w14:paraId="14CE330B" w14:textId="77777777" w:rsidR="00296DC2" w:rsidRDefault="00296DC2" w:rsidP="00296DC2"/>
    <w:p w14:paraId="4588F8AC" w14:textId="77777777" w:rsidR="00296DC2" w:rsidRDefault="00296DC2" w:rsidP="00296DC2">
      <w:r>
        <w:t>Re. Fe. It. S.p.A., in persona del legale rappresentante pro tempore, rappresentata e difesa dall'avvocato Lu. Pi., con domicilio digitale come da PEC da Registri di Giustizia;</w:t>
      </w:r>
    </w:p>
    <w:p w14:paraId="32B8C9DC" w14:textId="77777777" w:rsidR="00296DC2" w:rsidRDefault="00296DC2" w:rsidP="00296DC2"/>
    <w:p w14:paraId="7624BB8F" w14:textId="77777777" w:rsidR="00296DC2" w:rsidRDefault="00296DC2" w:rsidP="00296DC2">
      <w:r>
        <w:t>contro</w:t>
      </w:r>
    </w:p>
    <w:p w14:paraId="7A3C5774" w14:textId="77777777" w:rsidR="00296DC2" w:rsidRDefault="00296DC2" w:rsidP="00296DC2"/>
    <w:p w14:paraId="77F3FCBE" w14:textId="77777777" w:rsidR="00296DC2" w:rsidRDefault="00296DC2" w:rsidP="00296DC2">
      <w:r>
        <w:t>Comune di (Omissis), in persona del legale rappresentante pro tempore, rappresentato e difeso dall'avvocato Ma. Fo., con domicilio digitale come da PEC da Registri di Giustizia;</w:t>
      </w:r>
    </w:p>
    <w:p w14:paraId="6633EBC0" w14:textId="77777777" w:rsidR="00296DC2" w:rsidRDefault="00296DC2" w:rsidP="00296DC2"/>
    <w:p w14:paraId="70E7FFC9" w14:textId="77777777" w:rsidR="00296DC2" w:rsidRDefault="00296DC2" w:rsidP="00296DC2">
      <w:r>
        <w:t>per l'annullamento</w:t>
      </w:r>
    </w:p>
    <w:p w14:paraId="0F4CB676" w14:textId="77777777" w:rsidR="00296DC2" w:rsidRDefault="00296DC2" w:rsidP="00296DC2"/>
    <w:p w14:paraId="0D008AD6" w14:textId="77777777" w:rsidR="00296DC2" w:rsidRDefault="00296DC2" w:rsidP="00296DC2">
      <w:r>
        <w:t>quanto al ricorso n. 1195 del 2024:</w:t>
      </w:r>
    </w:p>
    <w:p w14:paraId="68DAEF88" w14:textId="77777777" w:rsidR="00296DC2" w:rsidRDefault="00296DC2" w:rsidP="00296DC2"/>
    <w:p w14:paraId="322432A9" w14:textId="77777777" w:rsidR="00296DC2" w:rsidRDefault="00296DC2" w:rsidP="00296DC2">
      <w:r>
        <w:t>del provvedimento del Comune di (Omissis), prot. AOO.c_e379.08/03/2024.0010305 - «lavori elettrificazione tratta Ivrea-Aosta della linea ferroviaria Chivasso-Aosta. Autorizzazione occupazione aree Piazza Perrone» e dell’allegato parere del Comando della Polizia Municipale, comunicato via p.e.c. in data 8 marzo 2024, nella parte in cui condiziona l’autorizzazione stessa al versamento del canone unico patrimoniale e nega l’applicazione di ogni esenzione, nonché dell’art. 40 del regolamento comunale di disciplina del canone unico patrimoniale, nella parte meglio indicata nel ricorso, approvato con delibera di Consiglio Comunale n. 22 del 7 aprile 2021, nonché di ogni altro atto presupposto o comunque connesso;</w:t>
      </w:r>
    </w:p>
    <w:p w14:paraId="31B859B5" w14:textId="77777777" w:rsidR="00296DC2" w:rsidRDefault="00296DC2" w:rsidP="00296DC2"/>
    <w:p w14:paraId="08564634" w14:textId="77777777" w:rsidR="00296DC2" w:rsidRDefault="00296DC2" w:rsidP="00296DC2">
      <w:r>
        <w:t>quanto al ricorso n. 1329 del 2024:</w:t>
      </w:r>
    </w:p>
    <w:p w14:paraId="70CFFD5F" w14:textId="77777777" w:rsidR="00296DC2" w:rsidRDefault="00296DC2" w:rsidP="00296DC2"/>
    <w:p w14:paraId="76382676" w14:textId="77777777" w:rsidR="00296DC2" w:rsidRDefault="00296DC2" w:rsidP="00296DC2">
      <w:r>
        <w:t>del provvedimento del Comune di (Omissis), prot. AOO.c_e379.26/07/2024.0032302 - «lavori elettrificazione tratta Ivrea-Aosta della linea ferroviaria Chivasso-Aosta. Occupazione aree Piazza Perrone» e dell’allegato parere del Comando della Polizia Municipale, comunicati via p.e.c. in data 26 luglio 2024, nella parte in cui condizionano l’autorizzazione stessa al versamento del canone unico patrimoniale e negano l’applicazione di ogni esenzione, nonché del regolamento comunale di disciplina del canone unico patrimoniale approvato con delibera di Consiglio Comunale n. 22 del 7 aprile 2021, nelle parti meglio indicate nel ricorso, nonché di ogni altro atto presupposto o comunque connesso;</w:t>
      </w:r>
    </w:p>
    <w:p w14:paraId="63286DEF" w14:textId="77777777" w:rsidR="00296DC2" w:rsidRDefault="00296DC2" w:rsidP="00296DC2"/>
    <w:p w14:paraId="210E4769" w14:textId="77777777" w:rsidR="00296DC2" w:rsidRDefault="00296DC2" w:rsidP="00296DC2">
      <w:r>
        <w:t>Visti i ricorsi e i relativi allegati;</w:t>
      </w:r>
    </w:p>
    <w:p w14:paraId="3BD65BF7" w14:textId="77777777" w:rsidR="00296DC2" w:rsidRDefault="00296DC2" w:rsidP="00296DC2"/>
    <w:p w14:paraId="2992DDE3" w14:textId="77777777" w:rsidR="00296DC2" w:rsidRDefault="00296DC2" w:rsidP="00296DC2">
      <w:r>
        <w:t>Visti gli atti di costituzione in giudizio del Comune di (Omissis);</w:t>
      </w:r>
    </w:p>
    <w:p w14:paraId="02570810" w14:textId="77777777" w:rsidR="00296DC2" w:rsidRDefault="00296DC2" w:rsidP="00296DC2"/>
    <w:p w14:paraId="5FDD02EF" w14:textId="77777777" w:rsidR="00296DC2" w:rsidRDefault="00296DC2" w:rsidP="00296DC2">
      <w:r>
        <w:t>Visti tutti gli atti della causa;</w:t>
      </w:r>
    </w:p>
    <w:p w14:paraId="3CC682B6" w14:textId="77777777" w:rsidR="00296DC2" w:rsidRDefault="00296DC2" w:rsidP="00296DC2"/>
    <w:p w14:paraId="26916293" w14:textId="77777777" w:rsidR="00296DC2" w:rsidRDefault="00296DC2" w:rsidP="00296DC2">
      <w:r>
        <w:t>Relatore nell'udienza pubblica del giorno 18 dicembre 2024 il dott. Alessandro Fardello e uditi per le parti i difensori come specificato nel verbale;</w:t>
      </w:r>
    </w:p>
    <w:p w14:paraId="327F6ECE" w14:textId="77777777" w:rsidR="00296DC2" w:rsidRDefault="00296DC2" w:rsidP="00296DC2"/>
    <w:p w14:paraId="5DCAA0A9" w14:textId="77777777" w:rsidR="00296DC2" w:rsidRDefault="00296DC2" w:rsidP="00296DC2">
      <w:r>
        <w:t>Ritenuto e considerato in fatto e diritto quanto segue.</w:t>
      </w:r>
    </w:p>
    <w:p w14:paraId="41826CB4" w14:textId="77777777" w:rsidR="00296DC2" w:rsidRDefault="00296DC2" w:rsidP="00296DC2"/>
    <w:p w14:paraId="43911227" w14:textId="77777777" w:rsidR="00296DC2" w:rsidRDefault="00296DC2" w:rsidP="00296DC2">
      <w:r>
        <w:t>FATTO</w:t>
      </w:r>
    </w:p>
    <w:p w14:paraId="2F723710" w14:textId="77777777" w:rsidR="00296DC2" w:rsidRDefault="00296DC2" w:rsidP="00296DC2"/>
    <w:p w14:paraId="4BB732EF" w14:textId="77777777" w:rsidR="00296DC2" w:rsidRDefault="00296DC2" w:rsidP="00296DC2">
      <w:r>
        <w:t>1. Con istanza del 07.03.2024 Re. Fe. It. S.p.a. (di seguito, breviter, anche “RF.”) ha richiesto al Comune di Ivrea il rilascio dell’autorizzazione all’occupazione di suolo pubblico ((Omissis), come da planimetrie allegate all’istanza), per il periodo compreso tra l’11.03.2024 ed il 18.07.2024, ai fini dell’esecuzione dei lavori di elettrificazione della tratta ferroviaria Ivrea-Aosta della linea Chivasso-Aosta con specifico riferimento alla sezione della galleria ferroviaria sottostante la Piazza Perrone.</w:t>
      </w:r>
    </w:p>
    <w:p w14:paraId="4E29D7A9" w14:textId="77777777" w:rsidR="00296DC2" w:rsidRDefault="00296DC2" w:rsidP="00296DC2"/>
    <w:p w14:paraId="36434A42" w14:textId="77777777" w:rsidR="00296DC2" w:rsidRDefault="00296DC2" w:rsidP="00296DC2">
      <w:r>
        <w:t>2. L’autorizzazione è stata rilasciata in identica data dal Comune ma, contrariamente a quanto richiesto da RF., è stata assoggettata al pagamento del canone unico patrimoniale, come disciplinato dal relativo regolamento comunale approvato con delibera del Consiglio Comunale n. 22 del 07.04.2021 e successivamente integrato con delibera del Consiglio Comunale n. 41 del 31.05.2021.</w:t>
      </w:r>
    </w:p>
    <w:p w14:paraId="4E8493FA" w14:textId="77777777" w:rsidR="00296DC2" w:rsidRDefault="00296DC2" w:rsidP="00296DC2"/>
    <w:p w14:paraId="4F2DBB08" w14:textId="77777777" w:rsidR="00296DC2" w:rsidRDefault="00296DC2" w:rsidP="00296DC2">
      <w:r>
        <w:t>3. RF. ha, pertanto, proposto ricorso straordinario al Presidente della Repubblica avverso la predetta autorizzazione (assieme al presupposto regolamento comunale) nella parte in cui ha assoggettato l’occupazione al pagamento del predetto canone unico patrimoniale, lamentando, sotto vari profili, che il Comune avrebbe illegittimamente limitato e/o non contemplato le esenzioni previste dalla disciplina statale di riferimento e che sarebbero state applicabili all’occupazione in questione. Tale ricorso straordinario è stato, successivamente, trasposto in questa sede giurisdizionale da parte di RF. a seguito dell’opposizione notificatale dal Comune di Ivrea (ricorso n. 1195/24).</w:t>
      </w:r>
    </w:p>
    <w:p w14:paraId="286CFA40" w14:textId="77777777" w:rsidR="00296DC2" w:rsidRDefault="00296DC2" w:rsidP="00296DC2"/>
    <w:p w14:paraId="77C922A4" w14:textId="77777777" w:rsidR="00296DC2" w:rsidRDefault="00296DC2" w:rsidP="00296DC2">
      <w:r>
        <w:t>4. Nelle more del giudizio, RF. ha presentato, in data 25.07.2024, un’ulteriore istanza di autorizzazione per prorogare l’occupazione delle medesime aree pubbliche anche nel periodo compreso tra il 19.07.2024 e l’11.09.2025; istanza anch’essa accolta dal Comune che, in data 26.07.2024, ha rilasciato la relativa autorizzazione pur condizionandola nuovamente al pagamento del già contestato canone unico patrimoniale.</w:t>
      </w:r>
    </w:p>
    <w:p w14:paraId="7A42F306" w14:textId="77777777" w:rsidR="00296DC2" w:rsidRDefault="00296DC2" w:rsidP="00296DC2"/>
    <w:p w14:paraId="75721A59" w14:textId="77777777" w:rsidR="00296DC2" w:rsidRDefault="00296DC2" w:rsidP="00296DC2">
      <w:r>
        <w:t>5. RF. ha, pertanto, proposto il ricorso n. 1329/24 (stavolta direttamente in sede giurisdizionale) anche avverso la nuova autorizzazione (sempre impugnata congiuntamente al relativo regolamento comunale), lamentando gli stessi motivi di illegittimità già articolati nel primo ricorso, così rubricati e sintetizzabili:</w:t>
      </w:r>
    </w:p>
    <w:p w14:paraId="3569BB33" w14:textId="77777777" w:rsidR="00296DC2" w:rsidRDefault="00296DC2" w:rsidP="00296DC2"/>
    <w:p w14:paraId="343F588A" w14:textId="77777777" w:rsidR="00296DC2" w:rsidRDefault="00296DC2" w:rsidP="00296DC2">
      <w:r>
        <w:t xml:space="preserve">“1. Illegittimità dell’art. 40 del regolamento di disciplina del canone unico patrimoniale del Comune di (Omissis). Illegittimità derivata degli atti applicativi. Violazione dell’art. 1, commi 821 e 833, della legge 29 </w:t>
      </w:r>
      <w:r>
        <w:lastRenderedPageBreak/>
        <w:t>dicembre 2019 n. 160 e dell’art. 49 del decreto legislativo 15 novembre 1993 n. 507. Violazione dell’art 23 Cost. e della riserva di legge. Violazione del principio di legalità. Eccesso di potere per erroneità dei presupposti e travisamento”: il regolamento comunale avrebbe illegittimamente ridotto la portata dell’esenzione di cui all’art. 1, comma 833, lett. a, L. 160/2019 alle sole occupazioni effettuate allo Stato, dalle Regioni o dagli enti locali per specifiche finalità di assistenza, previdenza, sanità, educazione, cultura e ricerca scientifica, mentre la predetta norma statale la riconoscerebbe ampiamente a qualunque tipo di occupazione effettuata dai predetti enti (anche indirettamente, attraverso i propri appaltatori) a prescindere dalle predette specifiche finalità (che rileverebbero solo per il riconoscimento dell’esenzione anche alle occupazioni effettuate dagli enti pubblici di cui all’art. 73, comma 1, lett. c, del T.U.I.R.);</w:t>
      </w:r>
    </w:p>
    <w:p w14:paraId="7D3464C5" w14:textId="77777777" w:rsidR="00296DC2" w:rsidRDefault="00296DC2" w:rsidP="00296DC2"/>
    <w:p w14:paraId="5E0AD413" w14:textId="77777777" w:rsidR="00296DC2" w:rsidRDefault="00296DC2" w:rsidP="00296DC2">
      <w:r>
        <w:t>“2. Illegittimità del diniego di esenzione. Violazione dell’art. 1, comma 833, della legge 27 dicembre 2019 n. 160. Violazione dell’art. 3 della legge 7 agosto 1990 n. 241. Eccesso di potere per difetto di istruttoria ed erroneità dei presupposti”: qualora il regolamento comunale non avesse operato tale illegittima riduzione dell’ampiezza dell’esenzione prevista dall’art. 1, comma 833, lett. a, L. 160/2019, la ricorrente avrebbe goduto della stessa posto agirebbe come organo indiretto dello Stato nella realizzazione e manutenzione della rete infrastrutturale ferroviaria nazionale e che peraltro, nel caso di specie, l’occupazione sarebbe avvenuta per eseguire un intervento di rilevante interesse nazionale inserito nel PNRR e finanziato con le relative risorse, il cui progetto sarebbe stato approvato in sede di conferenza di servizi anche con l’assenso del Comune di (Omissis) il quale avrebbe già ottenuto opere compensative e mitigative del disagio provocato dalla cantierizzazione;</w:t>
      </w:r>
    </w:p>
    <w:p w14:paraId="6076B624" w14:textId="77777777" w:rsidR="00296DC2" w:rsidRDefault="00296DC2" w:rsidP="00296DC2"/>
    <w:p w14:paraId="453669BB" w14:textId="77777777" w:rsidR="00296DC2" w:rsidRDefault="00296DC2" w:rsidP="00296DC2">
      <w:r>
        <w:t>“3. Illegittimità dell’art. 40 del regolamento di disciplina del canone unico patrimoniale del Comune di (Omissis). Illegittimità derivata degli atti applicativi. Violazione gli artt. 59 e 60 del regio decreto 9 maggio 1912, n. 1447. Eccesso di potere per difetto di istruttoria”: il regolamento comunale ed i conseguenti provvedimenti autorizzatori sarebbero comunque illegittimi per non aver recepito ed applicato all’occupazione in questione la normativa speciale di cui agli artt. 59 e 60 del RD 1447/1912 che esenterebbe l’occupazione di aree pubbliche finalizzata alla costruzione, manutenzione o potenziamento della linea ferroviaria dal pagamento di qualunque tributo o corrispettivo, ivi incluso il canone di cui si discute.</w:t>
      </w:r>
    </w:p>
    <w:p w14:paraId="5382FEED" w14:textId="77777777" w:rsidR="00296DC2" w:rsidRDefault="00296DC2" w:rsidP="00296DC2"/>
    <w:p w14:paraId="637ABBB0" w14:textId="77777777" w:rsidR="00296DC2" w:rsidRDefault="00296DC2" w:rsidP="00296DC2">
      <w:r>
        <w:t>6. Si è costituito, in entrambi i giudizi, il Comune di Ivrea, eccependo l’infondatezza dei ricorsi avversari e deducendo la piena legittimità del regolamento comunale e delle conseguenti autorizzazioni onerose rilasciate a favore dei RF., posto che a quest’ultima non spetterebbe l’esenzione dal canone di occupazione né sulla base della disciplina regolamentare comunale né in forza della normativa statale invocata.</w:t>
      </w:r>
    </w:p>
    <w:p w14:paraId="767F36DC" w14:textId="77777777" w:rsidR="00296DC2" w:rsidRDefault="00296DC2" w:rsidP="00296DC2"/>
    <w:p w14:paraId="096893A8" w14:textId="77777777" w:rsidR="00296DC2" w:rsidRDefault="00296DC2" w:rsidP="00296DC2">
      <w:r>
        <w:t>7. Alla pubblica udienza del 18.12.2024 i ricorsi sono stati trattenuti in decisione.</w:t>
      </w:r>
    </w:p>
    <w:p w14:paraId="0BF53FB8" w14:textId="77777777" w:rsidR="00296DC2" w:rsidRDefault="00296DC2" w:rsidP="00296DC2"/>
    <w:p w14:paraId="5A9A2559" w14:textId="77777777" w:rsidR="00296DC2" w:rsidRDefault="00296DC2" w:rsidP="00296DC2">
      <w:r>
        <w:t>DIRITTO</w:t>
      </w:r>
    </w:p>
    <w:p w14:paraId="6697A750" w14:textId="77777777" w:rsidR="00296DC2" w:rsidRDefault="00296DC2" w:rsidP="00296DC2"/>
    <w:p w14:paraId="62FA9C0D" w14:textId="77777777" w:rsidR="00296DC2" w:rsidRDefault="00296DC2" w:rsidP="00296DC2">
      <w:r>
        <w:t>8. Preliminarmente i due ricorsi (R.G. n. 1195/2024 e n. 1329/2024) devono essere riuniti stante l’evidente connessione soggettiva ed oggettiva tra gli stessi.</w:t>
      </w:r>
    </w:p>
    <w:p w14:paraId="43417F75" w14:textId="77777777" w:rsidR="00296DC2" w:rsidRDefault="00296DC2" w:rsidP="00296DC2"/>
    <w:p w14:paraId="42C37216" w14:textId="77777777" w:rsidR="00296DC2" w:rsidRDefault="00296DC2" w:rsidP="00296DC2">
      <w:r>
        <w:lastRenderedPageBreak/>
        <w:t>9. Il Collegio ritiene altresì di respingere, sempre in via preliminare, l’istanza di rinvio di trattazione dei ricorsi depositata in giudizio dalla ricorrente il 2.12.2024.</w:t>
      </w:r>
    </w:p>
    <w:p w14:paraId="5EFC93E0" w14:textId="77777777" w:rsidR="00296DC2" w:rsidRDefault="00296DC2" w:rsidP="00296DC2"/>
    <w:p w14:paraId="1AC1E912" w14:textId="77777777" w:rsidR="00296DC2" w:rsidRDefault="00296DC2" w:rsidP="00296DC2">
      <w:r>
        <w:t>Ciò in quanto il rinvio di trattazione della causa, ai sensi dell’art. 73, comma 1 bis, c.p.a., è circoscritto a casi eccezionali, non sussistenti nel caso di specie.</w:t>
      </w:r>
    </w:p>
    <w:p w14:paraId="1C171236" w14:textId="77777777" w:rsidR="00296DC2" w:rsidRDefault="00296DC2" w:rsidP="00296DC2"/>
    <w:p w14:paraId="3C225DB6" w14:textId="77777777" w:rsidR="00296DC2" w:rsidRDefault="00296DC2" w:rsidP="00296DC2">
      <w:r>
        <w:t>Invero, da un lato l’urgenza di una pronuncia sulla controversia è data dalla circostanza che si tratta di progetti finanziati con fondi PNRR, dall’altro la richiesta di rinvio assume a presupposto generiche e non documentate trattative volte alla risoluzione della controversia. Inoltre la richiesta di rinvio è stata presentata in tempi tali da non consentire l’inserimento, nel ruolo di udienza del 18 dicembre 2024, di altri ricorsi al posto di quelli oggetto della presente sentenza.</w:t>
      </w:r>
    </w:p>
    <w:p w14:paraId="0D71DC86" w14:textId="77777777" w:rsidR="00296DC2" w:rsidRDefault="00296DC2" w:rsidP="00296DC2"/>
    <w:p w14:paraId="6425A624" w14:textId="77777777" w:rsidR="00296DC2" w:rsidRDefault="00296DC2" w:rsidP="00296DC2">
      <w:r>
        <w:t>Premesso quanto sopra, occorre procedere alla trattazione nel merito dei ricorsi in epigrafe.</w:t>
      </w:r>
    </w:p>
    <w:p w14:paraId="1363AC64" w14:textId="77777777" w:rsidR="00296DC2" w:rsidRDefault="00296DC2" w:rsidP="00296DC2"/>
    <w:p w14:paraId="71D92EB9" w14:textId="77777777" w:rsidR="00296DC2" w:rsidRDefault="00296DC2" w:rsidP="00296DC2">
      <w:r>
        <w:t>10. Il Collegio ritiene di trattare congiuntamente la prima e la seconda censura, essendo connesse tra loro.</w:t>
      </w:r>
    </w:p>
    <w:p w14:paraId="33E26A77" w14:textId="77777777" w:rsidR="00296DC2" w:rsidRDefault="00296DC2" w:rsidP="00296DC2"/>
    <w:p w14:paraId="101B296E" w14:textId="77777777" w:rsidR="00296DC2" w:rsidRDefault="00296DC2" w:rsidP="00296DC2">
      <w:r>
        <w:t>La ricorrente con la prima doglianza lamenta il contrasto dell’impugnato art. 40 del regolamento comunale con la normativa statale di riferimento, in quanto la disposizione locale limiterebbe l’ambito applicativo dell’esenzione di pagamento prevista dal legislatore a favore dello Stato; l’esponente, con il secondo motivo, invoca a proprio favore l’esenzione dal pagamento del canone unico patrimoniale stabilita dall’art. 1, comma 833, lett. a, L. 160/2019, sull’assunto di costituire organo indiretto dello Stato per la realizzazione di un’opera ferroviaria pubblica di rilevante interesse nazionale.</w:t>
      </w:r>
    </w:p>
    <w:p w14:paraId="7D111E66" w14:textId="77777777" w:rsidR="00296DC2" w:rsidRDefault="00296DC2" w:rsidP="00296DC2"/>
    <w:p w14:paraId="14C82D29" w14:textId="77777777" w:rsidR="00296DC2" w:rsidRDefault="00296DC2" w:rsidP="00296DC2">
      <w:r>
        <w:t>Le doglianze sono infondate.</w:t>
      </w:r>
    </w:p>
    <w:p w14:paraId="5E794C58" w14:textId="77777777" w:rsidR="00296DC2" w:rsidRDefault="00296DC2" w:rsidP="00296DC2"/>
    <w:p w14:paraId="6E72ACA0" w14:textId="77777777" w:rsidR="00296DC2" w:rsidRDefault="00296DC2" w:rsidP="00296DC2">
      <w:r>
        <w:t>10.1. Il canone di cui si discute (il “canone patrimoniale di concessione, autorizzazione o esposizione pubblicitaria” o, secondo la denominazione riassuntiva utilizzata dall’impugnato regolamento comunale di Ivrea, il “canone unico patrimoniale”) è stato introdotto dall’art. 1, commi 816 e ss., della L. 160/2019 in sostituzione di qualunque canone ricognitorio o concessorio previsto da norme di legge e dai regolamenti comunali e provinciali, tra cui espressamente la tassa per l'occupazione di spazi ed aree pubbliche (TOSAP), il canone per l'occupazione di spazi ed aree pubbliche (COSAP), l'imposta comunale sulla pubblicità e il diritto sulle pubbliche affissioni, il canone per l'installazione dei mezzi pubblicitari e il canone di cui all'articolo 27, commi 7 e 8, del codice della strada, di cui al decreto legislativo 30 aprile 1992, n. 285, limitatamente alle strade di pertinenza dei comuni e delle province.</w:t>
      </w:r>
    </w:p>
    <w:p w14:paraId="40555C1A" w14:textId="77777777" w:rsidR="00296DC2" w:rsidRDefault="00296DC2" w:rsidP="00296DC2"/>
    <w:p w14:paraId="25BB3387" w14:textId="77777777" w:rsidR="00296DC2" w:rsidRDefault="00296DC2" w:rsidP="00296DC2">
      <w:r>
        <w:t xml:space="preserve">Il comma 833 del predetto art. 1 individua diverse ipotesi di esenzioni dal pagamento del canone, tra le quali, per quanto qui di interesse, quella di cui alla lett. a, a tenore della quale sono esenti “le occupazioni effettuate dallo Stato, dalle regioni, province, città metropolitane, comuni e loro consorzi, da enti religiosi per l'esercizio di culti ammessi nello Stato, da enti pubblici di cui all'articolo 73, comma 1, lettera c), del </w:t>
      </w:r>
      <w:r>
        <w:lastRenderedPageBreak/>
        <w:t>testo unico delle imposte sui redditi, di cui al decreto del Presidente della Repubblica 22 dicembre 1986, n. 917, per finalità specifiche di assistenza, previdenza, sanità, educazione, cultura e ricerca scientifica”.</w:t>
      </w:r>
    </w:p>
    <w:p w14:paraId="19B492F8" w14:textId="77777777" w:rsidR="00296DC2" w:rsidRDefault="00296DC2" w:rsidP="00296DC2"/>
    <w:p w14:paraId="3F76EE2A" w14:textId="77777777" w:rsidR="00296DC2" w:rsidRDefault="00296DC2" w:rsidP="00296DC2">
      <w:r>
        <w:t>Trattasi di un’esenzione identica a quella già prevista per la TOSAP dall’art. 49 del D. Lgs. 507/1993, che molti regolamenti comunali e provinciali hanno mantenuto anche a seguito dell’istituzione del COSAP, in coerenza con la disciplina statale di riferimento che ha ammesso l’individuazione in sede regolamentare di “speciali agevolazioni per occupazioni ritenute di particolare interesse pubblico e, in particolare, per quelle aventi finalità politiche ed istituzionali” (art. 63, comma 2, lett. e, del D. Lgs. 446/1997).</w:t>
      </w:r>
    </w:p>
    <w:p w14:paraId="509B9254" w14:textId="77777777" w:rsidR="00296DC2" w:rsidRDefault="00296DC2" w:rsidP="00296DC2"/>
    <w:p w14:paraId="7B498EE2" w14:textId="77777777" w:rsidR="00296DC2" w:rsidRDefault="00296DC2" w:rsidP="00296DC2">
      <w:r>
        <w:t>10.2. Se è vero che il COSAP, a differenza della TOSAP, non ha natura tributaria costituendo il corrispettivo di una concessione, reale o presunta, per l’occupazione di suolo pubblico (cfr., ex pluris, Cass. n. 24541 del 2/10/2019), cionondimeno le esenzioni dal suo pagamento sono sempre state ritenute dalla giurisprudenza, al pari di quelle già previste per la TOSAP, oggetto di norme di stretta interpretazione, rappresentando eccezioni alla regola generale dell’onerosità dell’occupazione (cfr. tra le molte, Cass. civ., Sez. I, 05/11/2024, n. 28378; Cass. civ., Sez. I, 25/09/2024, n. 25614).</w:t>
      </w:r>
    </w:p>
    <w:p w14:paraId="4FFB634B" w14:textId="77777777" w:rsidR="00296DC2" w:rsidRDefault="00296DC2" w:rsidP="00296DC2"/>
    <w:p w14:paraId="7A1D235D" w14:textId="77777777" w:rsidR="00296DC2" w:rsidRDefault="00296DC2" w:rsidP="00296DC2">
      <w:r>
        <w:t>Anche con specifico riferimento al canone unico di cui all’art. 1, commi 816 e ss., della L. 160/2019 (che, al pari del COSAP, non ha natura tributaria) è stato sottolineato come le norme di agevolazione o esenzione costituiscano una deroga sostanziale al principio generale posto dalla legge ordinaria, cosicché non trovano applicazione al di fuori delle ipotesi specificamente e tassativamente indicate, atteso il divieto di interpretazione analogica ed estensiva (cfr., proprio relativamente all’esenzione di cui all’art. 1, comma 833, lett. a, della L. 160/2019, Cons. Stato, Sez. VII, 27/11/2024, n. 9553).</w:t>
      </w:r>
    </w:p>
    <w:p w14:paraId="4AE28EEF" w14:textId="77777777" w:rsidR="00296DC2" w:rsidRDefault="00296DC2" w:rsidP="00296DC2"/>
    <w:p w14:paraId="7092533E" w14:textId="77777777" w:rsidR="00296DC2" w:rsidRDefault="00296DC2" w:rsidP="00296DC2">
      <w:r>
        <w:t>10.3. Ebbene, l’esenzione di cui si discute è circoscritta dalla relativa norma di legge alle occupazioni effettuate da alcuni enti pubblici specificatamente individuati, tra cui, per quanto qui rileva, lo Stato.</w:t>
      </w:r>
    </w:p>
    <w:p w14:paraId="38906B5C" w14:textId="77777777" w:rsidR="00296DC2" w:rsidRDefault="00296DC2" w:rsidP="00296DC2"/>
    <w:p w14:paraId="17736963" w14:textId="77777777" w:rsidR="00296DC2" w:rsidRDefault="00296DC2" w:rsidP="00296DC2">
      <w:r>
        <w:t>La stretta interpretazione del riferimento allo “Stato” non può, pertanto, che condurre a limitare l’operatività dell’esenzione alle occupazioni effettuate dallo “Stato-persona”, in linea con la consolidata giurisprudenza già pronunciatasi su altre ipotesi di esenzioni fiscali riconosciute allo “Stato” che, come detto, condividono la medesima natura eccezionale dell’esenzione qui in esame (cfr., in tema di imposte di registro, catastale, ipotecaria e di bollo: Cass. civ., Sez. V, 13/08/2020, n. 17034 proprio con riferimento a RF. S.p.a.; Cass. civ., Sez. V, 17/11/2017, n. 27289 relativamente a TA. S.p.a.; Cass. civ., Sez. V, 17/11/2021, n. 34854 rispetto ad ANAS S.p.a.; tutte società facenti attualmente parte del Gruppo Fe. De. St.: v. infra).</w:t>
      </w:r>
    </w:p>
    <w:p w14:paraId="419EC0F3" w14:textId="77777777" w:rsidR="00296DC2" w:rsidRDefault="00296DC2" w:rsidP="00296DC2"/>
    <w:p w14:paraId="025CF6C9" w14:textId="77777777" w:rsidR="00296DC2" w:rsidRDefault="00296DC2" w:rsidP="00296DC2">
      <w:r>
        <w:t>Il riconoscimento dell’esenzione a soggetti diversi dallo “Stato-persona” attraverso una loro pretesa assimilazione allo Stato finirebbe inevitabilmente per portare ad una interpretazione analogica ed estensiva di una norma eccezionale, in contrasto con il disposto di cui all’art. 14 delle preleggi del codice civile.</w:t>
      </w:r>
    </w:p>
    <w:p w14:paraId="43741B97" w14:textId="77777777" w:rsidR="00296DC2" w:rsidRDefault="00296DC2" w:rsidP="00296DC2"/>
    <w:p w14:paraId="58534DE4" w14:textId="77777777" w:rsidR="00296DC2" w:rsidRDefault="00296DC2" w:rsidP="00296DC2">
      <w:r>
        <w:t>10.4. In ragione di ciò, la giurisprudenza civile (cfr., ex multis, Cass. civ., Sez. V, 05/11/2021, n. 31950; Cass. civ., Sez. V, 13/08/2020, n. 17034) ha condivisibilmente escluso che RF. possa farsi rientrare nella nozione di “Stato” che rileva ai fini dell’applicazione delle esenzioni fiscali riconosciute a quest’ultimo.</w:t>
      </w:r>
    </w:p>
    <w:p w14:paraId="0EE0131A" w14:textId="77777777" w:rsidR="00296DC2" w:rsidRDefault="00296DC2" w:rsidP="00296DC2"/>
    <w:p w14:paraId="454975CE" w14:textId="77777777" w:rsidR="00296DC2" w:rsidRDefault="00296DC2" w:rsidP="00296DC2">
      <w:r>
        <w:t>RF. è, infatti, la società che gestisce l’infrastruttura ferroviaria nazionale ai sensi dell’art. 15 del D. Lgs. 112/2015 sulla base dell’atto di concessione rilasciato dal Ministero dei Trasporti con D.M. n. 138T del 31.10.2000 e s.m.i. a Fe. De. St. S.p.a. che la partecipa al 100% e che, a sua volta, è interamente partecipata dal Ministero dell’Economia e delle Finanze. A seguito del processo di progressiva riorganizzazione del gruppo, Fe. De. St. S.p.a. ha assunto l’attuale configurazione di holding che controlla le varie società operative, tra cui appunto RF., svolgendo un'attività economica e commerciale in regime di mercato libero, con autonomia giuridica e patrimoniale rispetto al socio pubblico, attraverso un’organizzazione societaria di stampo civilistico che ne definisce la natura privata a prescindere dal fatto che sia partecipata da un soggetto pubblico. A loro volta, le società operative sono dotate di una propria specificità aziendale e godono di autonomia gestionale nel perseguimento degli obiettivi di business, pur all’interno di una politica unitaria del gruppo tesa ad uno sviluppo industriale e commerciale in ambito comunitario ed internazionale che sia competitivo e sostenibile sebbene orientato al perseguimento di interessi generali.</w:t>
      </w:r>
    </w:p>
    <w:p w14:paraId="2E3943DE" w14:textId="77777777" w:rsidR="00296DC2" w:rsidRDefault="00296DC2" w:rsidP="00296DC2"/>
    <w:p w14:paraId="65ED61EE" w14:textId="77777777" w:rsidR="00296DC2" w:rsidRDefault="00296DC2" w:rsidP="00296DC2">
      <w:r>
        <w:t>Cosicché RF., nonostante gestisca l’infrastruttura ferroviaria nazionale sulla base di un rapporto concessorio da parte dello Stato, non agisce attraverso poteri o funzioni di stampo amministrativo riferibili a quest’ultimo, ma opera in regime d’impresa con le forme e gli strumenti tipici dell’attività economica privata, pur orientata all'interesse generale, senza che la totale partecipazione pubblica (peraltro indiretta attraverso la capogruppo, il che ulteriormente affievolisce il legame con l’ente pubblico) ed il perseguimento di un interesse generale (del tutto connaturale all’intervento pubblico in economia: cfr. art. 4 del D. Lgs. 175/2016) siano idonei ad eliminare ogni distinzione tra la concessionaria e lo Stato concedente (cfr. Cass. civ., Sez. Un., 27/12/2017, n. 30978). D’altra parte, la scelta di attribuire la gestione della rete ad un ente privato risponde precipuamente alla finalità di assicurare, attraverso l'esternalizzazione, un'efficiente gestione del servizio, per aumentarne le potenzialità produttive e incrementare il tasso di soddisfacimento della collettività, ricorrendo ad un modello societario teso comunque a generare un profitto (cfr. art. 11 quater del D. Lgs. 112/2015) ed a garantire, quantomeno, l’equilibrio finanziario e contabile della gestione dell’infrastruttura ferroviaria (art. 16 del D. Lgs. 112/2015).</w:t>
      </w:r>
    </w:p>
    <w:p w14:paraId="5ED2CFD6" w14:textId="77777777" w:rsidR="00296DC2" w:rsidRDefault="00296DC2" w:rsidP="00296DC2"/>
    <w:p w14:paraId="587C1F8E" w14:textId="77777777" w:rsidR="00296DC2" w:rsidRDefault="00296DC2" w:rsidP="00296DC2">
      <w:r>
        <w:t>10.4. Ciò posto, l’occupazione di suolo pubblico comunale effettuata da RF. per la realizzazione di un’opera dell’infrastruttura ferroviaria nazionale di cui la stessa è concessionaria e che gestisce in regime privatistico d’impresa non è soggettivamente riferibile allo “Stato-persona” e, pertanto, non può godere dell’esenzione di cui all’art. 1, comma 833, lett. a, della L. 160/2019.</w:t>
      </w:r>
    </w:p>
    <w:p w14:paraId="2CD36A1F" w14:textId="77777777" w:rsidR="00296DC2" w:rsidRDefault="00296DC2" w:rsidP="00296DC2"/>
    <w:p w14:paraId="459AF171" w14:textId="77777777" w:rsidR="00296DC2" w:rsidRDefault="00296DC2" w:rsidP="00296DC2">
      <w:r>
        <w:t>10.5. Nemmeno rileva, in senso contrario, che l’opera sia di proprietà dello Stato al quale tornerà la gestione al termine della concessione, né che la sua pianificazione o programmazione sia stata prevista dallo Stato (in particolare, nel caso dell’infrastruttura ferroviaria, attraverso l’inclusione nel contratto di programma stipulato tra Ministero e RF.), né che il relativo progetto sia stato approvato in sede di conferenza dei servizi (con la partecipazione dei vari enti pubblici interessati) e dichiarato di particolare importanza nazionale (attraverso l’inserimento nel PNRR con i relativi finanziamenti), perché, ai fini dell’applicabilità del canone, è decisivo il fatto che l’occupazione sia effettuata dalla società concessionaria nell’esercizio della propria attività imprenditoriale e non dallo Stato concedente (cfr., in tema di COSAP, con riferimento alla concessionaria della rete autostradale, Cass. civ., Sez. I, 18/11/2024, n. 2962; Cass. civ., Sez. I, 05/11/2024, n. 28378; Cass. civ., Sez. I, 29/05/2023 n. 15010).</w:t>
      </w:r>
    </w:p>
    <w:p w14:paraId="642D4F25" w14:textId="77777777" w:rsidR="00296DC2" w:rsidRDefault="00296DC2" w:rsidP="00296DC2"/>
    <w:p w14:paraId="39422924" w14:textId="77777777" w:rsidR="00296DC2" w:rsidRDefault="00296DC2" w:rsidP="00296DC2">
      <w:r>
        <w:lastRenderedPageBreak/>
        <w:t>10.6. Tale conclusione non è peraltro incisa, ad avviso del Collegio, dalle recenti pronunce del Consiglio di Stato che hanno escluso l’assoggettabilità a COSAP dei cavalcavia autostradali posti al di sopra di strade comunali e provinciali (cfr., ad esempio, Cons. Stato, Sez. V, 27/11/2023, n. 10130). Al di là del fatto che tale orientamento non è stato condiviso dalla Corte di Cassazione che ha confermato la propria differente posizione (cfr. Cass. civ., Sez. I, 18/11/2024, n. 2962), lo stesso si fonda non tanto su un’interpretazione estensiva dell’esenzione dal pagamento del canone riconosciuta allo Stato dalla norma di legge che RF. invoca nel presente giudizio, quanto sul rilievo che la costruzione ed utilizzazione dei cavalcavia autostradali non necessita di un’autorizzazione dell’ente locale proprietario della strada sottostante, in quanto non comporta una effettiva e permanente occupazione (tantomeno “abusiva”) della predetta strada, realizzando la coesistenza e reciproca interferenza di due beni demaniali tra loro autonomi, con conseguente insussistenza del presupposto stesso del pagamento del canone (vale a dire un’occupazione di suolo pubblico soggetta ad autorizzazione dall’ente locale). Tale ratio decidendi non appare, dunque, estendibile al caso di specie, in cui è proprio RF. ad aver domandato al Comune di (Omissis) il rilascio di un’autorizzazione per occupare una piazza cittadina durante il periodo necessario all’esecuzione dei lavori nella galleria ferroviaria sotterranea, realizzando così un’occupazione fisica della predetta piazza che l’ha temporaneamente sottratta all’ordinario uso pubblico cui è rivolta, il che integra pienamente il presupposto di legge per il pagamento del canone di cui all’art. 1, commi 816 e ss., della L. 160/2019.</w:t>
      </w:r>
    </w:p>
    <w:p w14:paraId="3A3116BB" w14:textId="77777777" w:rsidR="00296DC2" w:rsidRDefault="00296DC2" w:rsidP="00296DC2"/>
    <w:p w14:paraId="0841D6CF" w14:textId="77777777" w:rsidR="00296DC2" w:rsidRDefault="00296DC2" w:rsidP="00296DC2">
      <w:r>
        <w:t>11. In definitiva, il Collegio ritiene che RF. non possa invocare a proprio favore l’esenzione di cui all’art. 1, comma 833, lett. a, della L. 160/2019, il che comporta l’infondatezza del primo e del secondo motivo di gravame.</w:t>
      </w:r>
    </w:p>
    <w:p w14:paraId="60DA72A1" w14:textId="77777777" w:rsidR="00296DC2" w:rsidRDefault="00296DC2" w:rsidP="00296DC2"/>
    <w:p w14:paraId="376C6381" w14:textId="77777777" w:rsidR="00296DC2" w:rsidRDefault="00296DC2" w:rsidP="00296DC2">
      <w:r>
        <w:t>12. Resta da scrutinare la terza censura dedotta nei ricorsi riuniti, relativa alla pretesa illegittimità del regolamento comunale (e conseguentemente delle autorizzazioni) per contrasto con gli artt. 59 e 60 del RD 1447/1912 che esenterebbero l’occupazione di aree pubbliche finalizzata alla costruzione, manutenzione o potenziamento della linea ferroviaria dal pagamento di qualunque tributo o corrispettivo, ivi incluso il canone di cui si discute.</w:t>
      </w:r>
    </w:p>
    <w:p w14:paraId="54321D9C" w14:textId="77777777" w:rsidR="00296DC2" w:rsidRDefault="00296DC2" w:rsidP="00296DC2"/>
    <w:p w14:paraId="21A6CA08" w14:textId="77777777" w:rsidR="00296DC2" w:rsidRDefault="00296DC2" w:rsidP="00296DC2">
      <w:r>
        <w:t>Anche tale doglianza non è condivisibile.</w:t>
      </w:r>
    </w:p>
    <w:p w14:paraId="16A15F03" w14:textId="77777777" w:rsidR="00296DC2" w:rsidRDefault="00296DC2" w:rsidP="00296DC2"/>
    <w:p w14:paraId="47C6C238" w14:textId="77777777" w:rsidR="00296DC2" w:rsidRDefault="00296DC2" w:rsidP="00296DC2">
      <w:r>
        <w:t>12.1. Intanto, il mancato espresso recepimento di tale (peraltro risalente) normativa speciale non determina, di per sé, l’illegittimità del regolamento comunale che deve piuttosto valutarsi rispetto alla disciplina statale istitutiva del canone unico che, a sua volta, non riporta alcun riferimento agli artt. 59 e 60 del RD 1447/1912, cosicché non può pretendersi dall’Amministrazione comunale una ricognizione esaustiva di tutte le ipotetiche norme di esclusione e/o esenzione dal pagamento del canone risultanti da discipline di settore. Ad ogni modo, l’art. 49, comma 1, del contestato regolamento comunale prevede che “Per quanto non espressamente previsto, si applicano le disposizioni di legge vigenti relative alla disciplina del canone unico patrimoniale contenute all’art. 1, dal comma 816 al comma 847, della L. 160/2019, nonché alle altre norme legislative e regolamentari vigenti”, con ciò escludendosi un contrasto rispetto alle normativa speciale invocata dalla ricorrente, se ed in quanto ipoteticamente applicabile alle occupazioni disciplinate dal regolamento.</w:t>
      </w:r>
    </w:p>
    <w:p w14:paraId="2F15A6CD" w14:textId="77777777" w:rsidR="00296DC2" w:rsidRDefault="00296DC2" w:rsidP="00296DC2"/>
    <w:p w14:paraId="6CACD2BF" w14:textId="77777777" w:rsidR="00296DC2" w:rsidRDefault="00296DC2" w:rsidP="00296DC2">
      <w:r>
        <w:lastRenderedPageBreak/>
        <w:t>12.2. In ogni caso, poi, la predetta normativa speciale non è comunque idonea ad escludere o esentare l’occupazione in esame dal pagamento del canone unico patrimoniale.</w:t>
      </w:r>
    </w:p>
    <w:p w14:paraId="3D1DE625" w14:textId="77777777" w:rsidR="00296DC2" w:rsidRDefault="00296DC2" w:rsidP="00296DC2"/>
    <w:p w14:paraId="3F12DD8D" w14:textId="77777777" w:rsidR="00296DC2" w:rsidRDefault="00296DC2" w:rsidP="00296DC2">
      <w:r>
        <w:t>L’art. 59 del RD 1447/1912 prevede, infatti, che “Chi costruisce una ferrovia pubblica ha il diritto non solo di occupare permanentemente le proprietà private e pubbliche, necessarie per lo stabilimento della ferrovia medesima, con tutte le sue dipendenze ed accessori, dichiarati all'art. 57, ma anche, mercè i giusti risarcimenti quello della occupazione temporanea dei luoghi occorrenti, durante la esecuzione dei lavori di costruzione o di riparazione...”; il successivo art. 60 stabilisce invece che “Non è dovuto alcun compenso o risarcimento per le occupazioni permanenti, provvisionali o temporanee degli alvei delle acque pubbliche, delle spiagge lacuali o marittime, né di qualunque altro terreno improduttivo appartenente allo Stato...”. L’art. 60 si pone, dunque, come un’eccezione alla regola della doverosità del ristoro per l’occupazione delle aree interessate dai lavori ferroviari, che è stabilita dal precedente art. 59 e, più in generale, da tutta la normativa in materia di espropriazioni e/o occupazioni per lavori di pubblica utilità. Ancora una volta, dunque, quale norma eccezionale, l’art. 60 del RD 1447/1912 deve essere oggetto di stretta interpretazione.</w:t>
      </w:r>
    </w:p>
    <w:p w14:paraId="51CA4855" w14:textId="77777777" w:rsidR="00296DC2" w:rsidRDefault="00296DC2" w:rsidP="00296DC2"/>
    <w:p w14:paraId="5845C41D" w14:textId="77777777" w:rsidR="00296DC2" w:rsidRDefault="00296DC2" w:rsidP="00296DC2">
      <w:r>
        <w:t>12.3. Ebbene, tale norma fa innanzitutto riferimento all’occupazione di beni che rientrano nel demanio idrico (fluviale, lacuale o marittimo), cui chiaramente non può essere ricondotta una strada o una piazza comunale. Anche il riferimento a “qualunque altro terreno improduttivo” è posto in relazione ai beni naturali del demanio idrico precedentemente indicati dalla norma (“alvei” e “spiagge”), cosicché, anche a non voler ritenere che anche tali ulteriori terreni improduttivi debbano anch’essi far parte nel demanio idrico, se ne ricava comunque una nozione di “terreno” in senso naturalistico da considerarsi, pertanto, “improduttivo” perché incolto e non destinato a sfruttamento agricolo o di altro tipo. Il che esclude che tra tali terreni improduttivi possono farsi rientrare strade o piazze. Peraltro, l’art. 60 in esame richiede comunque che si tratti di demanio “appartenente allo Stato”, mentre qui si discute di una piazza e di una strada pacificamente appartenenti al Comune di (Omissis) (già all’epoca dell’adozione del RD 1447/1912, in forza dell’attribuzione alla proprietà comunale delle strade e delle piazze interne alla città ex art. 22 dell’allegato F alla L. 2248/1865).</w:t>
      </w:r>
    </w:p>
    <w:p w14:paraId="07816135" w14:textId="77777777" w:rsidR="00296DC2" w:rsidRDefault="00296DC2" w:rsidP="00296DC2"/>
    <w:p w14:paraId="097AEB79" w14:textId="77777777" w:rsidR="00296DC2" w:rsidRDefault="00296DC2" w:rsidP="00296DC2">
      <w:r>
        <w:t>12.4. Ne discende, dunque, l’infondatezza anche del terzo motivo di ricorso.</w:t>
      </w:r>
    </w:p>
    <w:p w14:paraId="4BA843CB" w14:textId="77777777" w:rsidR="00296DC2" w:rsidRDefault="00296DC2" w:rsidP="00296DC2"/>
    <w:p w14:paraId="113D9D7D" w14:textId="77777777" w:rsidR="00296DC2" w:rsidRDefault="00296DC2" w:rsidP="00296DC2">
      <w:r>
        <w:t>13. In conclusione, i ricorsi devono essere respinti.</w:t>
      </w:r>
    </w:p>
    <w:p w14:paraId="03CF769E" w14:textId="77777777" w:rsidR="00296DC2" w:rsidRDefault="00296DC2" w:rsidP="00296DC2"/>
    <w:p w14:paraId="49063356" w14:textId="77777777" w:rsidR="00296DC2" w:rsidRDefault="00296DC2" w:rsidP="00296DC2">
      <w:r>
        <w:t>14. Le spese di lite possono essere compensate alla luce della particolarità delle questioni dedotte e della sussistenza di alcuni contrasti giurisprudenziali sulle stesse.</w:t>
      </w:r>
    </w:p>
    <w:p w14:paraId="0DEC3CF7" w14:textId="77777777" w:rsidR="00296DC2" w:rsidRDefault="00296DC2" w:rsidP="00296DC2"/>
    <w:p w14:paraId="3AEB9796" w14:textId="77777777" w:rsidR="00296DC2" w:rsidRDefault="00296DC2" w:rsidP="00296DC2">
      <w:r>
        <w:t>P.Q.M.</w:t>
      </w:r>
    </w:p>
    <w:p w14:paraId="7B2336BF" w14:textId="77777777" w:rsidR="00296DC2" w:rsidRDefault="00296DC2" w:rsidP="00296DC2"/>
    <w:p w14:paraId="10F834C0" w14:textId="77777777" w:rsidR="00296DC2" w:rsidRDefault="00296DC2" w:rsidP="00296DC2">
      <w:r>
        <w:t>Il Tribunale Amministrativo Regionale per il Piemonte (Sezione Seconda), definitivamente pronunciando sui ricorsi riuniti in epigrafe, li respinge.</w:t>
      </w:r>
    </w:p>
    <w:p w14:paraId="1D0C6ADD" w14:textId="77777777" w:rsidR="00296DC2" w:rsidRDefault="00296DC2" w:rsidP="00296DC2"/>
    <w:p w14:paraId="006C7436" w14:textId="77777777" w:rsidR="00296DC2" w:rsidRDefault="00296DC2" w:rsidP="00296DC2">
      <w:r>
        <w:lastRenderedPageBreak/>
        <w:t>Spese compensate.</w:t>
      </w:r>
    </w:p>
    <w:p w14:paraId="5BB2D983" w14:textId="77777777" w:rsidR="00296DC2" w:rsidRDefault="00296DC2" w:rsidP="00296DC2"/>
    <w:p w14:paraId="774F62A2" w14:textId="77777777" w:rsidR="00296DC2" w:rsidRDefault="00296DC2" w:rsidP="00296DC2">
      <w:r>
        <w:t>Ordina che la presente sentenza sia eseguita dall'autorità amministrativa.</w:t>
      </w:r>
    </w:p>
    <w:p w14:paraId="3B87E9AC" w14:textId="77777777" w:rsidR="00296DC2" w:rsidRDefault="00296DC2" w:rsidP="00296DC2"/>
    <w:p w14:paraId="681C3908" w14:textId="77777777" w:rsidR="00296DC2" w:rsidRDefault="00296DC2" w:rsidP="00296DC2">
      <w:r>
        <w:t>Così deciso in Torino nella camera di consiglio del giorno 18 dicembre 2024 con l'intervento dei magistrati:</w:t>
      </w:r>
    </w:p>
    <w:p w14:paraId="1DC4E809" w14:textId="77777777" w:rsidR="00296DC2" w:rsidRDefault="00296DC2" w:rsidP="00296DC2"/>
    <w:p w14:paraId="26066BFA" w14:textId="77777777" w:rsidR="00296DC2" w:rsidRDefault="00296DC2" w:rsidP="00296DC2">
      <w:r>
        <w:t>Gianluca Bellucci - Presidente</w:t>
      </w:r>
    </w:p>
    <w:p w14:paraId="5F690CF7" w14:textId="77777777" w:rsidR="00296DC2" w:rsidRDefault="00296DC2" w:rsidP="00296DC2"/>
    <w:p w14:paraId="5C2353F1" w14:textId="77777777" w:rsidR="00296DC2" w:rsidRDefault="00296DC2" w:rsidP="00296DC2">
      <w:r>
        <w:t>Marco Costa, Referendario</w:t>
      </w:r>
    </w:p>
    <w:p w14:paraId="52583A30" w14:textId="77777777" w:rsidR="00296DC2" w:rsidRDefault="00296DC2" w:rsidP="00296DC2"/>
    <w:p w14:paraId="1DBD2406" w14:textId="77777777" w:rsidR="00296DC2" w:rsidRDefault="00296DC2" w:rsidP="00296DC2">
      <w:r>
        <w:t>Alessandro Fardello, Referendario, Estensore</w:t>
      </w:r>
    </w:p>
    <w:p w14:paraId="3968CBCD" w14:textId="77777777" w:rsidR="005F57FA" w:rsidRDefault="005F57FA">
      <w:bookmarkStart w:id="0" w:name="_GoBack"/>
      <w:bookmarkEnd w:id="0"/>
    </w:p>
    <w:sectPr w:rsidR="005F57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FA"/>
    <w:rsid w:val="00296DC2"/>
    <w:rsid w:val="005F57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CD973B-EEB3-470A-97B8-3BAADE89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4045</Words>
  <Characters>23059</Characters>
  <Application>Microsoft Office Word</Application>
  <DocSecurity>0</DocSecurity>
  <Lines>192</Lines>
  <Paragraphs>54</Paragraphs>
  <ScaleCrop>false</ScaleCrop>
  <Company/>
  <LinksUpToDate>false</LinksUpToDate>
  <CharactersWithSpaces>27050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2025-01-28T09:44:00Z</dcterms:created>
  <dcterms:modified xsi:type="dcterms:W3CDTF">2025-01-28T09:44:00Z</dcterms:modified>
</cp:coreProperties>
</file>